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71572" w14:textId="77777777" w:rsidR="006E232D" w:rsidRDefault="006E232D" w:rsidP="006512A6">
      <w:pPr>
        <w:jc w:val="center"/>
        <w:rPr>
          <w:rFonts w:ascii="Arial" w:eastAsia="Times New Roman" w:hAnsi="Arial"/>
          <w:sz w:val="52"/>
          <w:szCs w:val="52"/>
        </w:rPr>
      </w:pPr>
    </w:p>
    <w:p w14:paraId="434EB258" w14:textId="77777777" w:rsidR="006E232D" w:rsidRDefault="006E232D" w:rsidP="006512A6">
      <w:pPr>
        <w:jc w:val="center"/>
        <w:rPr>
          <w:rFonts w:ascii="Arial" w:eastAsia="Times New Roman" w:hAnsi="Arial"/>
          <w:sz w:val="52"/>
          <w:szCs w:val="52"/>
        </w:rPr>
      </w:pPr>
    </w:p>
    <w:p w14:paraId="334B2F0B" w14:textId="433D5C95" w:rsidR="006512A6" w:rsidRDefault="006512A6" w:rsidP="006512A6">
      <w:pPr>
        <w:jc w:val="center"/>
        <w:rPr>
          <w:rFonts w:ascii="Arial" w:eastAsia="Times New Roman" w:hAnsi="Arial"/>
          <w:sz w:val="52"/>
          <w:szCs w:val="52"/>
        </w:rPr>
      </w:pPr>
      <w:r w:rsidRPr="00681DF0">
        <w:rPr>
          <w:rFonts w:ascii="Arial" w:eastAsia="Times New Roman" w:hAnsi="Arial"/>
          <w:sz w:val="52"/>
          <w:szCs w:val="52"/>
        </w:rPr>
        <w:t>What We Heard</w:t>
      </w:r>
    </w:p>
    <w:p w14:paraId="5E3235E5" w14:textId="77777777" w:rsidR="00A47540" w:rsidRPr="00681DF0" w:rsidRDefault="00A47540" w:rsidP="006512A6">
      <w:pPr>
        <w:jc w:val="center"/>
        <w:rPr>
          <w:rFonts w:ascii="Arial" w:eastAsia="Times New Roman" w:hAnsi="Arial"/>
          <w:sz w:val="52"/>
          <w:szCs w:val="52"/>
        </w:rPr>
      </w:pPr>
    </w:p>
    <w:p w14:paraId="5DBF0453" w14:textId="0415BDEC" w:rsidR="00AD3F76" w:rsidRDefault="00AD3F76" w:rsidP="006512A6">
      <w:pPr>
        <w:jc w:val="center"/>
        <w:rPr>
          <w:rFonts w:ascii="Arial" w:hAnsi="Arial"/>
          <w:sz w:val="40"/>
          <w:szCs w:val="40"/>
        </w:rPr>
      </w:pPr>
      <w:r>
        <w:rPr>
          <w:rFonts w:ascii="Arial" w:hAnsi="Arial"/>
          <w:sz w:val="40"/>
          <w:szCs w:val="40"/>
        </w:rPr>
        <w:t>Consultations on the</w:t>
      </w:r>
    </w:p>
    <w:p w14:paraId="7357A18B" w14:textId="77777777" w:rsidR="00AD3F76" w:rsidRDefault="006512A6" w:rsidP="006512A6">
      <w:pPr>
        <w:jc w:val="center"/>
        <w:rPr>
          <w:rFonts w:ascii="Arial" w:hAnsi="Arial"/>
          <w:sz w:val="40"/>
          <w:szCs w:val="40"/>
        </w:rPr>
      </w:pPr>
      <w:r>
        <w:rPr>
          <w:rFonts w:ascii="Arial" w:hAnsi="Arial"/>
          <w:sz w:val="40"/>
          <w:szCs w:val="40"/>
        </w:rPr>
        <w:t xml:space="preserve">Transportation of Dangerous Goods </w:t>
      </w:r>
    </w:p>
    <w:p w14:paraId="094C0B47" w14:textId="03DD597F" w:rsidR="006512A6" w:rsidRDefault="006512A6" w:rsidP="006512A6">
      <w:pPr>
        <w:jc w:val="center"/>
        <w:rPr>
          <w:rFonts w:ascii="Arial" w:hAnsi="Arial"/>
          <w:sz w:val="40"/>
          <w:szCs w:val="40"/>
        </w:rPr>
      </w:pPr>
      <w:r>
        <w:rPr>
          <w:rFonts w:ascii="Arial" w:hAnsi="Arial"/>
          <w:sz w:val="40"/>
          <w:szCs w:val="40"/>
        </w:rPr>
        <w:t>Client Identification Database</w:t>
      </w:r>
    </w:p>
    <w:p w14:paraId="4EC55178" w14:textId="77777777" w:rsidR="004328A0" w:rsidRPr="00AB3D7F" w:rsidRDefault="004328A0" w:rsidP="00D959B4">
      <w:pPr>
        <w:pStyle w:val="NoteStyleforParagraph"/>
        <w:rPr>
          <w:rFonts w:cs="Arial"/>
        </w:rPr>
      </w:pPr>
    </w:p>
    <w:p w14:paraId="02D33B8B" w14:textId="77777777" w:rsidR="004328A0" w:rsidRPr="00AB3D7F" w:rsidRDefault="004328A0" w:rsidP="00D959B4">
      <w:pPr>
        <w:pStyle w:val="NoteStyleforParagraph"/>
        <w:rPr>
          <w:rFonts w:cs="Arial"/>
        </w:rPr>
      </w:pPr>
    </w:p>
    <w:p w14:paraId="3644841E" w14:textId="255168B3" w:rsidR="006E232D" w:rsidRDefault="006E232D" w:rsidP="001D1652">
      <w:pPr>
        <w:pStyle w:val="10-SectionHeading"/>
        <w:rPr>
          <w:rFonts w:hint="eastAsia"/>
        </w:rPr>
      </w:pPr>
    </w:p>
    <w:p w14:paraId="2B1DF532" w14:textId="77777777" w:rsidR="006E232D" w:rsidRDefault="006E232D" w:rsidP="001D1652">
      <w:pPr>
        <w:pStyle w:val="10-SectionHeading"/>
        <w:rPr>
          <w:rFonts w:hint="eastAsia"/>
        </w:rPr>
      </w:pPr>
    </w:p>
    <w:p w14:paraId="35722061" w14:textId="77777777" w:rsidR="006E232D" w:rsidRDefault="006E232D" w:rsidP="001D1652">
      <w:pPr>
        <w:pStyle w:val="10-SectionHeading"/>
        <w:rPr>
          <w:rFonts w:hint="eastAsia"/>
        </w:rPr>
      </w:pPr>
    </w:p>
    <w:p w14:paraId="7DFBF62D" w14:textId="77777777" w:rsidR="006E232D" w:rsidRDefault="006E232D" w:rsidP="001D1652">
      <w:pPr>
        <w:pStyle w:val="10-SectionHeading"/>
        <w:rPr>
          <w:rFonts w:hint="eastAsia"/>
        </w:rPr>
      </w:pPr>
    </w:p>
    <w:p w14:paraId="6D058BBC" w14:textId="7A7C6BEB" w:rsidR="006E232D" w:rsidRPr="006E232D" w:rsidRDefault="006E232D" w:rsidP="006E232D">
      <w:pPr>
        <w:pStyle w:val="Normal1"/>
        <w:jc w:val="right"/>
        <w:rPr>
          <w:b w:val="0"/>
          <w:caps/>
          <w:lang w:val="en-US"/>
        </w:rPr>
      </w:pPr>
      <w:r w:rsidRPr="006E232D">
        <w:rPr>
          <w:b w:val="0"/>
          <w:caps/>
          <w:lang w:val="en-US"/>
        </w:rPr>
        <w:t>Transportation of Dangerous goods directorate</w:t>
      </w:r>
    </w:p>
    <w:p w14:paraId="08CEA429" w14:textId="7DC24B1E" w:rsidR="006E232D" w:rsidRPr="00E0549A" w:rsidRDefault="006E232D" w:rsidP="006E232D">
      <w:pPr>
        <w:pStyle w:val="Normal1"/>
        <w:jc w:val="right"/>
        <w:rPr>
          <w:b w:val="0"/>
          <w:caps/>
          <w:lang w:val="en-US"/>
        </w:rPr>
      </w:pPr>
      <w:r w:rsidRPr="00E0549A">
        <w:rPr>
          <w:b w:val="0"/>
          <w:caps/>
          <w:lang w:val="en-US"/>
        </w:rPr>
        <w:t>transport canada</w:t>
      </w:r>
    </w:p>
    <w:p w14:paraId="12450AF6" w14:textId="21C8B03E" w:rsidR="006E232D" w:rsidRPr="006E232D" w:rsidRDefault="006E232D" w:rsidP="006E232D">
      <w:pPr>
        <w:pStyle w:val="Normal1"/>
        <w:jc w:val="right"/>
        <w:rPr>
          <w:b w:val="0"/>
          <w:caps/>
          <w:lang w:val="en-US"/>
        </w:rPr>
      </w:pPr>
      <w:r w:rsidRPr="006E232D">
        <w:rPr>
          <w:b w:val="0"/>
          <w:caps/>
          <w:lang w:val="en-US"/>
        </w:rPr>
        <w:t>september 2018</w:t>
      </w:r>
    </w:p>
    <w:p w14:paraId="3F2A71CB" w14:textId="44808A4B" w:rsidR="00D43449" w:rsidRPr="007511A4" w:rsidRDefault="001B6B2D" w:rsidP="001D1652">
      <w:pPr>
        <w:pStyle w:val="10-SectionHeading"/>
        <w:rPr>
          <w:rFonts w:hint="eastAsia"/>
        </w:rPr>
      </w:pPr>
      <w:r w:rsidRPr="006E232D">
        <w:br w:type="page"/>
      </w:r>
      <w:bookmarkStart w:id="0" w:name="_Toc372288510"/>
      <w:r w:rsidR="00E94D3D">
        <w:lastRenderedPageBreak/>
        <w:t>BACKGROUND</w:t>
      </w:r>
    </w:p>
    <w:p w14:paraId="30343C98" w14:textId="30106728" w:rsidR="00F85C91" w:rsidRDefault="00E94D3D" w:rsidP="000A60C0">
      <w:pPr>
        <w:pStyle w:val="Paragraph"/>
        <w:numPr>
          <w:ilvl w:val="0"/>
          <w:numId w:val="0"/>
        </w:numPr>
      </w:pPr>
      <w:bookmarkStart w:id="1" w:name="_Toc422981028"/>
      <w:bookmarkEnd w:id="0"/>
      <w:r>
        <w:t>Part of Transport Canada’s (TC) mission is to serve the public</w:t>
      </w:r>
      <w:r w:rsidR="009867DF">
        <w:t>’s</w:t>
      </w:r>
      <w:r>
        <w:t xml:space="preserve"> interest through the promotion of a safe tr</w:t>
      </w:r>
      <w:r w:rsidR="009867DF">
        <w:t xml:space="preserve">ansportation system in Canada. </w:t>
      </w:r>
      <w:r>
        <w:t xml:space="preserve">Currently, TC does not have sufficient or up-to-date information on the transportation of dangerous </w:t>
      </w:r>
      <w:r w:rsidR="005A3DF8">
        <w:t xml:space="preserve">goods </w:t>
      </w:r>
      <w:r>
        <w:t>(TDG)</w:t>
      </w:r>
      <w:r w:rsidR="00E05B10">
        <w:t xml:space="preserve"> domestically</w:t>
      </w:r>
      <w:r w:rsidR="009867DF">
        <w:t xml:space="preserve">. </w:t>
      </w:r>
      <w:r>
        <w:t>This knowledge gap was raised by the Office of the Auditor General in 2011 and reiterated by th</w:t>
      </w:r>
      <w:r w:rsidR="009867DF">
        <w:t xml:space="preserve">e Transportation Safety Board of Canada. </w:t>
      </w:r>
      <w:r>
        <w:t>To address this gap and strength</w:t>
      </w:r>
      <w:r w:rsidR="005A3DF8">
        <w:t>en</w:t>
      </w:r>
      <w:r>
        <w:t xml:space="preserve"> oversight, the Government of Canada’s Budget 2016 provided funding to develop the TDG Client </w:t>
      </w:r>
      <w:r w:rsidR="009867DF">
        <w:t xml:space="preserve">Identification Database (CID). </w:t>
      </w:r>
      <w:r>
        <w:t>TDG CID will provide an accurate and reliable inventory of TDG sites and activities</w:t>
      </w:r>
      <w:r w:rsidR="00F85C91">
        <w:t xml:space="preserve"> as the information</w:t>
      </w:r>
      <w:r>
        <w:t xml:space="preserve"> collected will strengthen how TDG oversight is conducted, ensuring that</w:t>
      </w:r>
      <w:r w:rsidR="0081396E">
        <w:t xml:space="preserve"> it</w:t>
      </w:r>
      <w:r>
        <w:t xml:space="preserve"> is consistent, risk</w:t>
      </w:r>
      <w:r w:rsidR="005A3DF8">
        <w:t>-</w:t>
      </w:r>
      <w:r>
        <w:t>based and able to keep pace with evolv</w:t>
      </w:r>
      <w:r w:rsidR="009867DF">
        <w:t xml:space="preserve">ing and emerging safety risks. </w:t>
      </w:r>
      <w:r w:rsidR="00F85C91">
        <w:t>In addition, information collected via TDG CID is expected to produce benefits for Canadian</w:t>
      </w:r>
      <w:r w:rsidR="00E77648">
        <w:t>s</w:t>
      </w:r>
      <w:r w:rsidR="009867DF">
        <w:t>,</w:t>
      </w:r>
      <w:r w:rsidR="00F85C91">
        <w:t xml:space="preserve"> as well as TDG CID clients,</w:t>
      </w:r>
      <w:r w:rsidR="005A3DF8">
        <w:t xml:space="preserve"> which include</w:t>
      </w:r>
      <w:r w:rsidR="00E77648">
        <w:t>:</w:t>
      </w:r>
      <w:r w:rsidR="005A3DF8">
        <w:t xml:space="preserve"> more effective and</w:t>
      </w:r>
      <w:r w:rsidR="00F85C91">
        <w:t xml:space="preserve"> efficient communication with clients, targeted </w:t>
      </w:r>
      <w:r w:rsidR="005A3DF8">
        <w:t xml:space="preserve">and </w:t>
      </w:r>
      <w:r w:rsidR="002876A0">
        <w:t>timelier</w:t>
      </w:r>
      <w:r w:rsidR="005A3DF8">
        <w:t xml:space="preserve"> </w:t>
      </w:r>
      <w:r w:rsidR="00F85C91">
        <w:t xml:space="preserve">outreach and awareness for clients, strengthened risk-based oversight and improved data-gathering capabilities for </w:t>
      </w:r>
      <w:r w:rsidR="00454935">
        <w:t>TC</w:t>
      </w:r>
      <w:r w:rsidR="00F85C91">
        <w:t>.</w:t>
      </w:r>
    </w:p>
    <w:p w14:paraId="6003FCA4" w14:textId="6E421CCC" w:rsidR="00E94D3D" w:rsidRDefault="006E232D" w:rsidP="005A3DF8">
      <w:pPr>
        <w:pStyle w:val="Paragraph"/>
        <w:numPr>
          <w:ilvl w:val="0"/>
          <w:numId w:val="0"/>
        </w:numPr>
      </w:pPr>
      <w:r>
        <w:t xml:space="preserve">Between February and April 2018, </w:t>
      </w:r>
      <w:r w:rsidR="002876A0">
        <w:t xml:space="preserve">TC’s </w:t>
      </w:r>
      <w:r>
        <w:t xml:space="preserve">TDG Directorate </w:t>
      </w:r>
      <w:r w:rsidR="00AB502D">
        <w:t>engaged</w:t>
      </w:r>
      <w:r w:rsidR="009664B8">
        <w:t xml:space="preserve"> a total of 13</w:t>
      </w:r>
      <w:r w:rsidR="00EF7531">
        <w:t>4</w:t>
      </w:r>
      <w:r w:rsidR="00AB502D">
        <w:t xml:space="preserve"> stakeholders</w:t>
      </w:r>
      <w:r w:rsidR="00E94D3D">
        <w:t xml:space="preserve"> on the proposed scope of TDG CID</w:t>
      </w:r>
      <w:r w:rsidR="00AB502D">
        <w:t xml:space="preserve"> through online consultations via the ‘Let’s Talk </w:t>
      </w:r>
      <w:r w:rsidR="00E94D3D">
        <w:t>Transportation’ webpage</w:t>
      </w:r>
      <w:r w:rsidR="00AB502D">
        <w:t xml:space="preserve"> </w:t>
      </w:r>
      <w:r w:rsidR="005A3DF8">
        <w:t>and</w:t>
      </w:r>
      <w:r w:rsidR="00AB502D">
        <w:t xml:space="preserve"> through face-to-face consultations in </w:t>
      </w:r>
      <w:r w:rsidR="005A3DF8">
        <w:t>Vancouver, Calgary, Winnipeg (webinar), Toronto, Ottawa, Montreal and Halifax.</w:t>
      </w:r>
      <w:r w:rsidR="00883438">
        <w:rPr>
          <w:rStyle w:val="FootnoteReference"/>
        </w:rPr>
        <w:footnoteReference w:id="1"/>
      </w:r>
      <w:r w:rsidR="005A3DF8">
        <w:t xml:space="preserve"> </w:t>
      </w:r>
      <w:r w:rsidR="001B7D12">
        <w:t>The main purpose of these consultation</w:t>
      </w:r>
      <w:r w:rsidR="00E77648">
        <w:t>s</w:t>
      </w:r>
      <w:r w:rsidR="001B7D12">
        <w:t xml:space="preserve"> was to</w:t>
      </w:r>
      <w:r w:rsidR="00AB502D">
        <w:t xml:space="preserve"> discuss the creation of a new, mandatory TDG CID for persons </w:t>
      </w:r>
      <w:r w:rsidR="00901EA8">
        <w:t xml:space="preserve">involved in </w:t>
      </w:r>
      <w:r w:rsidR="000A60C0">
        <w:t xml:space="preserve">activities </w:t>
      </w:r>
      <w:r w:rsidR="005A3DF8">
        <w:t>governed</w:t>
      </w:r>
      <w:r w:rsidR="00AB502D">
        <w:t xml:space="preserve"> </w:t>
      </w:r>
      <w:r w:rsidR="00F678C8">
        <w:t>by</w:t>
      </w:r>
      <w:r w:rsidR="000A60C0">
        <w:t xml:space="preserve"> the </w:t>
      </w:r>
      <w:hyperlink r:id="rId8" w:history="1">
        <w:r w:rsidR="000A60C0" w:rsidRPr="006E656C">
          <w:rPr>
            <w:rStyle w:val="Hyperlink"/>
            <w:i/>
          </w:rPr>
          <w:t>Transportation of Dangerous Goods Act</w:t>
        </w:r>
      </w:hyperlink>
      <w:r w:rsidR="000A60C0">
        <w:rPr>
          <w:i/>
        </w:rPr>
        <w:t xml:space="preserve"> </w:t>
      </w:r>
      <w:r w:rsidR="000A60C0" w:rsidRPr="000A60C0">
        <w:t xml:space="preserve">(TDGA) </w:t>
      </w:r>
      <w:r w:rsidR="00F678C8">
        <w:t xml:space="preserve">and the </w:t>
      </w:r>
      <w:hyperlink r:id="rId9" w:history="1">
        <w:r w:rsidR="000A60C0" w:rsidRPr="006E656C">
          <w:rPr>
            <w:rStyle w:val="Hyperlink"/>
            <w:i/>
          </w:rPr>
          <w:t>Transportation of Dangerous Goods Regulations</w:t>
        </w:r>
      </w:hyperlink>
      <w:r w:rsidR="000A60C0">
        <w:rPr>
          <w:i/>
        </w:rPr>
        <w:t xml:space="preserve"> </w:t>
      </w:r>
      <w:r w:rsidR="000A60C0" w:rsidRPr="000A60C0">
        <w:t>(TDGR)</w:t>
      </w:r>
      <w:r w:rsidR="00AB502D">
        <w:t>.</w:t>
      </w:r>
      <w:r w:rsidR="006E656C">
        <w:rPr>
          <w:rStyle w:val="FootnoteReference"/>
        </w:rPr>
        <w:footnoteReference w:id="2"/>
      </w:r>
      <w:r w:rsidR="005C15C4">
        <w:t xml:space="preserve"> </w:t>
      </w:r>
    </w:p>
    <w:p w14:paraId="4E8F616A" w14:textId="56708118" w:rsidR="00E52FFD" w:rsidRDefault="005C15C4" w:rsidP="0081396E">
      <w:pPr>
        <w:pStyle w:val="Paragraph"/>
        <w:numPr>
          <w:ilvl w:val="0"/>
          <w:numId w:val="0"/>
        </w:numPr>
      </w:pPr>
      <w:r>
        <w:t xml:space="preserve">Consultations focused </w:t>
      </w:r>
      <w:r w:rsidR="00BE7971">
        <w:t xml:space="preserve">mainly </w:t>
      </w:r>
      <w:r>
        <w:t>on</w:t>
      </w:r>
      <w:r w:rsidR="00E52FFD">
        <w:t>:</w:t>
      </w:r>
    </w:p>
    <w:p w14:paraId="4D8236B9" w14:textId="7957A8BB" w:rsidR="00E52FFD" w:rsidRPr="001D1652" w:rsidRDefault="009867DF" w:rsidP="0081396E">
      <w:pPr>
        <w:pStyle w:val="Paragraph"/>
        <w:numPr>
          <w:ilvl w:val="0"/>
          <w:numId w:val="33"/>
        </w:numPr>
        <w:jc w:val="both"/>
        <w:rPr>
          <w:color w:val="000000" w:themeColor="text1"/>
        </w:rPr>
      </w:pPr>
      <w:r>
        <w:t>S</w:t>
      </w:r>
      <w:r w:rsidR="00AB4564">
        <w:t xml:space="preserve">haring TC’s </w:t>
      </w:r>
      <w:r w:rsidR="001B7D12">
        <w:t>proposed scope</w:t>
      </w:r>
      <w:r w:rsidR="00E52FFD">
        <w:t xml:space="preserve"> </w:t>
      </w:r>
      <w:r w:rsidR="001B7D12">
        <w:t xml:space="preserve">for </w:t>
      </w:r>
      <w:r w:rsidR="006E4F23">
        <w:t>TDG CID</w:t>
      </w:r>
      <w:r w:rsidR="00F85C91">
        <w:t xml:space="preserve"> </w:t>
      </w:r>
      <w:r w:rsidR="00BE7971">
        <w:t xml:space="preserve">on </w:t>
      </w:r>
      <w:r w:rsidR="00E52FFD" w:rsidRPr="001D1652">
        <w:rPr>
          <w:color w:val="000000" w:themeColor="text1"/>
        </w:rPr>
        <w:t>who would need to register;</w:t>
      </w:r>
      <w:r w:rsidR="00BE7971" w:rsidRPr="001D1652">
        <w:rPr>
          <w:color w:val="000000" w:themeColor="text1"/>
        </w:rPr>
        <w:t xml:space="preserve"> </w:t>
      </w:r>
      <w:r w:rsidR="00E52FFD" w:rsidRPr="001D1652">
        <w:rPr>
          <w:color w:val="000000" w:themeColor="text1"/>
        </w:rPr>
        <w:t>what information clients would need to provide;</w:t>
      </w:r>
      <w:r w:rsidR="00BE7971" w:rsidRPr="001D1652">
        <w:rPr>
          <w:color w:val="000000" w:themeColor="text1"/>
        </w:rPr>
        <w:t xml:space="preserve"> </w:t>
      </w:r>
      <w:r w:rsidR="00E52FFD" w:rsidRPr="001D1652">
        <w:rPr>
          <w:color w:val="000000" w:themeColor="text1"/>
        </w:rPr>
        <w:t>implementation and planned timelines;</w:t>
      </w:r>
      <w:r w:rsidR="00BE7971">
        <w:rPr>
          <w:color w:val="000000" w:themeColor="text1"/>
        </w:rPr>
        <w:t xml:space="preserve"> </w:t>
      </w:r>
      <w:r w:rsidR="00E52FFD" w:rsidRPr="001D1652">
        <w:rPr>
          <w:color w:val="000000" w:themeColor="text1"/>
        </w:rPr>
        <w:t>how the information collected will be used; and next steps</w:t>
      </w:r>
      <w:r w:rsidR="005A3DF8">
        <w:rPr>
          <w:color w:val="000000" w:themeColor="text1"/>
        </w:rPr>
        <w:t xml:space="preserve"> following policy consultations.</w:t>
      </w:r>
    </w:p>
    <w:p w14:paraId="4E7C73D4" w14:textId="32F0FA0E" w:rsidR="00625C83" w:rsidRPr="0081396E" w:rsidRDefault="009867DF" w:rsidP="0081396E">
      <w:pPr>
        <w:pStyle w:val="List1stLevel"/>
        <w:numPr>
          <w:ilvl w:val="0"/>
          <w:numId w:val="33"/>
        </w:numPr>
        <w:jc w:val="both"/>
        <w:rPr>
          <w:color w:val="000000" w:themeColor="text1"/>
        </w:rPr>
      </w:pPr>
      <w:r>
        <w:t>R</w:t>
      </w:r>
      <w:r w:rsidR="001B7D12">
        <w:t xml:space="preserve">eceiving feedback, questions and concerns from </w:t>
      </w:r>
      <w:r w:rsidR="000A60C0">
        <w:t>stakeholders</w:t>
      </w:r>
      <w:r w:rsidR="001B7D12">
        <w:t xml:space="preserve"> on the anticipated impacts of TDG CID</w:t>
      </w:r>
      <w:r w:rsidR="00E52FFD">
        <w:t xml:space="preserve"> on their business activities.</w:t>
      </w:r>
      <w:r w:rsidR="001B7D12">
        <w:t xml:space="preserve"> </w:t>
      </w:r>
    </w:p>
    <w:p w14:paraId="2FDCEACF" w14:textId="2392A9A4" w:rsidR="003D013B" w:rsidRDefault="006E232D" w:rsidP="006E232D">
      <w:pPr>
        <w:pStyle w:val="Paragraph"/>
        <w:numPr>
          <w:ilvl w:val="0"/>
          <w:numId w:val="0"/>
        </w:numPr>
      </w:pPr>
      <w:r>
        <w:t>T</w:t>
      </w:r>
      <w:r w:rsidR="008E5D6A">
        <w:t xml:space="preserve">his </w:t>
      </w:r>
      <w:r w:rsidR="00697015">
        <w:t>document contains a summary of what we heard from stakeholders through consultations</w:t>
      </w:r>
      <w:r w:rsidR="009867DF">
        <w:t>,</w:t>
      </w:r>
      <w:r w:rsidR="00697015">
        <w:t xml:space="preserve"> as well as TC’s next steps.</w:t>
      </w:r>
      <w:r w:rsidR="00237145">
        <w:t xml:space="preserve"> </w:t>
      </w:r>
    </w:p>
    <w:bookmarkEnd w:id="1"/>
    <w:p w14:paraId="65097643" w14:textId="4A9902EA" w:rsidR="00D43449" w:rsidRDefault="006B097B" w:rsidP="001D1652">
      <w:pPr>
        <w:pStyle w:val="10-SectionHeading"/>
        <w:rPr>
          <w:rFonts w:hint="eastAsia"/>
        </w:rPr>
      </w:pPr>
      <w:r>
        <w:t>proposed</w:t>
      </w:r>
      <w:r w:rsidR="00685E1F">
        <w:t xml:space="preserve"> ScOPE for TDG CID</w:t>
      </w:r>
    </w:p>
    <w:p w14:paraId="6DD0A1CD" w14:textId="0950DA30" w:rsidR="00017F85" w:rsidRDefault="00414D22" w:rsidP="00330F22">
      <w:pPr>
        <w:pStyle w:val="Paragraph"/>
        <w:numPr>
          <w:ilvl w:val="0"/>
          <w:numId w:val="0"/>
        </w:numPr>
      </w:pPr>
      <w:r>
        <w:t xml:space="preserve">Through </w:t>
      </w:r>
      <w:r w:rsidR="00017F85" w:rsidRPr="00681DF0">
        <w:t xml:space="preserve">extensive research, analysis, and </w:t>
      </w:r>
      <w:r w:rsidR="00DD7B88">
        <w:t>discussion</w:t>
      </w:r>
      <w:r w:rsidR="00017F85" w:rsidRPr="00681DF0">
        <w:t xml:space="preserve"> with program subject matter experts, </w:t>
      </w:r>
      <w:r w:rsidR="00F139E8">
        <w:t>TC</w:t>
      </w:r>
      <w:r w:rsidR="00017F85" w:rsidRPr="00330F22">
        <w:t xml:space="preserve"> </w:t>
      </w:r>
      <w:r>
        <w:t xml:space="preserve">developed </w:t>
      </w:r>
      <w:r w:rsidR="00044A04">
        <w:t>the</w:t>
      </w:r>
      <w:r w:rsidR="00017F85" w:rsidRPr="00330F22">
        <w:t xml:space="preserve"> following </w:t>
      </w:r>
      <w:r w:rsidR="00685E1F">
        <w:t>proposed</w:t>
      </w:r>
      <w:r w:rsidR="0084044B">
        <w:t xml:space="preserve"> scope and sought feedback during consultation</w:t>
      </w:r>
      <w:r w:rsidR="00A541B9">
        <w:t>s</w:t>
      </w:r>
      <w:r w:rsidR="00017F85" w:rsidRPr="00681DF0">
        <w:t>:</w:t>
      </w:r>
    </w:p>
    <w:p w14:paraId="57F952F8" w14:textId="5CB10204" w:rsidR="00017F85" w:rsidRDefault="00414D22" w:rsidP="00A10200">
      <w:pPr>
        <w:pStyle w:val="List1stLevel"/>
        <w:numPr>
          <w:ilvl w:val="3"/>
          <w:numId w:val="8"/>
        </w:numPr>
        <w:jc w:val="both"/>
      </w:pPr>
      <w:r>
        <w:t>A</w:t>
      </w:r>
      <w:r w:rsidR="00017F85">
        <w:t xml:space="preserve">ny person who imports, offers for transport, handles, or transports dangerous goods </w:t>
      </w:r>
      <w:r w:rsidR="002876A0">
        <w:t>(DG</w:t>
      </w:r>
      <w:r w:rsidR="00A541B9">
        <w:t>s</w:t>
      </w:r>
      <w:r w:rsidR="002876A0">
        <w:t xml:space="preserve">) </w:t>
      </w:r>
      <w:r w:rsidR="00017F85">
        <w:t xml:space="preserve">in Canada </w:t>
      </w:r>
      <w:r>
        <w:t>is</w:t>
      </w:r>
      <w:r w:rsidR="00017F85">
        <w:t xml:space="preserve"> required to re</w:t>
      </w:r>
      <w:r w:rsidR="001A478E">
        <w:t>gister with TC via TDG</w:t>
      </w:r>
      <w:r w:rsidR="001D1652">
        <w:t xml:space="preserve"> </w:t>
      </w:r>
      <w:r w:rsidR="001A478E">
        <w:t xml:space="preserve">CID; </w:t>
      </w:r>
    </w:p>
    <w:p w14:paraId="1F70F443" w14:textId="7D641C94" w:rsidR="00017F85" w:rsidRPr="001A478E" w:rsidRDefault="001A478E" w:rsidP="00DD7B88">
      <w:pPr>
        <w:pStyle w:val="List1stLevel"/>
        <w:jc w:val="both"/>
      </w:pPr>
      <w:r w:rsidRPr="00330F22">
        <w:t xml:space="preserve">Persons transporting quantities of dangerous goods or engaging in </w:t>
      </w:r>
      <w:r w:rsidR="0029066A">
        <w:t xml:space="preserve">activities as outlined in Part I </w:t>
      </w:r>
      <w:r w:rsidRPr="00330F22">
        <w:t xml:space="preserve">– Exemptions </w:t>
      </w:r>
      <w:r w:rsidRPr="007A592E">
        <w:t>(Section 1.15-1.50</w:t>
      </w:r>
      <w:r w:rsidR="0029066A">
        <w:t xml:space="preserve">) and </w:t>
      </w:r>
      <w:r w:rsidR="00E52FFD">
        <w:t xml:space="preserve">exemptions </w:t>
      </w:r>
      <w:r w:rsidR="0029066A">
        <w:t>in Schedule 2 of the TDG</w:t>
      </w:r>
      <w:r w:rsidR="009867DF">
        <w:t>R</w:t>
      </w:r>
      <w:r w:rsidR="0029066A">
        <w:t xml:space="preserve"> </w:t>
      </w:r>
      <w:r w:rsidR="00414D22">
        <w:t xml:space="preserve">are not </w:t>
      </w:r>
      <w:r w:rsidRPr="00330F22">
        <w:t xml:space="preserve">required to register; </w:t>
      </w:r>
    </w:p>
    <w:p w14:paraId="1500DC9C" w14:textId="6E92F076" w:rsidR="001A478E" w:rsidRDefault="001A478E" w:rsidP="00DD7B88">
      <w:pPr>
        <w:pStyle w:val="List1stLevel"/>
        <w:jc w:val="both"/>
      </w:pPr>
      <w:r>
        <w:t xml:space="preserve">Registrants </w:t>
      </w:r>
      <w:r w:rsidR="00F01573">
        <w:t>are</w:t>
      </w:r>
      <w:r>
        <w:t xml:space="preserve"> required to provide </w:t>
      </w:r>
      <w:r w:rsidR="00F01573">
        <w:t>their basi</w:t>
      </w:r>
      <w:r w:rsidR="00E67902">
        <w:t>c identifying</w:t>
      </w:r>
      <w:r w:rsidR="00F01573">
        <w:t xml:space="preserve"> information </w:t>
      </w:r>
      <w:r w:rsidR="00301E02">
        <w:t xml:space="preserve">(e.g., legal business name, DG site addresses, etc.) </w:t>
      </w:r>
      <w:r w:rsidR="00F01573">
        <w:t xml:space="preserve">and risk-relevant information on specific </w:t>
      </w:r>
      <w:r>
        <w:t>DG</w:t>
      </w:r>
      <w:r w:rsidR="00F01573">
        <w:t xml:space="preserve"> </w:t>
      </w:r>
      <w:r>
        <w:t>activities</w:t>
      </w:r>
      <w:r w:rsidR="00301E02">
        <w:t xml:space="preserve"> (e.g., UN numbers, types and frequency of DG activities, type and volumes of DGs involved, etc.)</w:t>
      </w:r>
      <w:r w:rsidR="0059095E">
        <w:t>; and,</w:t>
      </w:r>
    </w:p>
    <w:p w14:paraId="58B43250" w14:textId="24C23BB3" w:rsidR="0059095E" w:rsidRDefault="0059095E" w:rsidP="00DD7B88">
      <w:pPr>
        <w:pStyle w:val="List1stLevel"/>
        <w:jc w:val="both"/>
      </w:pPr>
      <w:r>
        <w:t xml:space="preserve">Stakeholders </w:t>
      </w:r>
      <w:r w:rsidR="009B07A5">
        <w:t>are</w:t>
      </w:r>
      <w:r>
        <w:t xml:space="preserve"> required to renew their registration at regular intervals to</w:t>
      </w:r>
      <w:r w:rsidR="0029066A">
        <w:t xml:space="preserve"> ensure</w:t>
      </w:r>
      <w:r>
        <w:t xml:space="preserve"> TDG CID remains </w:t>
      </w:r>
      <w:r w:rsidR="00454935">
        <w:t>up to date and accurate</w:t>
      </w:r>
      <w:r>
        <w:t xml:space="preserve">. </w:t>
      </w:r>
    </w:p>
    <w:p w14:paraId="29812E65" w14:textId="77777777" w:rsidR="006E577D" w:rsidRDefault="006E577D" w:rsidP="006E577D">
      <w:pPr>
        <w:pStyle w:val="List1stLevel"/>
        <w:numPr>
          <w:ilvl w:val="0"/>
          <w:numId w:val="0"/>
        </w:numPr>
        <w:ind w:left="1440"/>
        <w:jc w:val="both"/>
      </w:pPr>
    </w:p>
    <w:p w14:paraId="5F35A2D9" w14:textId="7773E8CA" w:rsidR="00A677CB" w:rsidRDefault="006B097B" w:rsidP="001D1652">
      <w:pPr>
        <w:pStyle w:val="10-SectionHeading"/>
        <w:rPr>
          <w:rFonts w:hint="eastAsia"/>
        </w:rPr>
      </w:pPr>
      <w:r>
        <w:lastRenderedPageBreak/>
        <w:t>what we heard</w:t>
      </w:r>
      <w:r w:rsidR="00975B89">
        <w:t xml:space="preserve"> </w:t>
      </w:r>
      <w:r w:rsidR="00150020">
        <w:t xml:space="preserve">during consultations </w:t>
      </w:r>
    </w:p>
    <w:p w14:paraId="0C7DEB75" w14:textId="4D121B1E" w:rsidR="00BF1770" w:rsidRPr="00BF1770" w:rsidRDefault="00D5666B" w:rsidP="0081396E">
      <w:pPr>
        <w:pStyle w:val="List1stLevel"/>
        <w:numPr>
          <w:ilvl w:val="0"/>
          <w:numId w:val="0"/>
        </w:numPr>
        <w:jc w:val="both"/>
      </w:pPr>
      <w:r>
        <w:t>TC received general suppo</w:t>
      </w:r>
      <w:r w:rsidR="005C76B9">
        <w:t xml:space="preserve">rt for the </w:t>
      </w:r>
      <w:r w:rsidR="00BF1770">
        <w:t>proposed scope of</w:t>
      </w:r>
      <w:r w:rsidR="005C76B9">
        <w:t xml:space="preserve"> TDG CID</w:t>
      </w:r>
      <w:r w:rsidR="00BF1770">
        <w:t>, howev</w:t>
      </w:r>
      <w:r w:rsidR="009867DF">
        <w:t xml:space="preserve">er, some concerns were raised. </w:t>
      </w:r>
      <w:r w:rsidR="00BF1770" w:rsidRPr="00BF1770">
        <w:t>The top three concerns</w:t>
      </w:r>
      <w:r w:rsidR="00736FC7">
        <w:t>, and additional considerations,</w:t>
      </w:r>
      <w:r w:rsidR="00BF1770" w:rsidRPr="00BF1770">
        <w:t xml:space="preserve"> highlighted by stakeholders during consultation </w:t>
      </w:r>
      <w:r w:rsidR="00454935">
        <w:t>are found below.</w:t>
      </w:r>
      <w:r w:rsidR="00BF1770" w:rsidRPr="00BF1770">
        <w:t xml:space="preserve"> </w:t>
      </w:r>
    </w:p>
    <w:p w14:paraId="27AFC6B9" w14:textId="06856C82" w:rsidR="00BF1770" w:rsidRDefault="00BF1770" w:rsidP="0081396E">
      <w:pPr>
        <w:pStyle w:val="List1stLevel"/>
        <w:numPr>
          <w:ilvl w:val="0"/>
          <w:numId w:val="0"/>
        </w:numPr>
        <w:jc w:val="both"/>
      </w:pPr>
    </w:p>
    <w:p w14:paraId="366C0AC4" w14:textId="5B2B9BD8" w:rsidR="005C76B9" w:rsidRPr="0081396E" w:rsidRDefault="00BF1770" w:rsidP="0081396E">
      <w:pPr>
        <w:pStyle w:val="List1stLevel"/>
        <w:numPr>
          <w:ilvl w:val="0"/>
          <w:numId w:val="38"/>
        </w:numPr>
        <w:jc w:val="both"/>
        <w:rPr>
          <w:b/>
        </w:rPr>
      </w:pPr>
      <w:r w:rsidRPr="0081396E">
        <w:rPr>
          <w:b/>
        </w:rPr>
        <w:t xml:space="preserve"> How effectively the TDG CID will support TC to minimize risk to public safety</w:t>
      </w:r>
      <w:r w:rsidR="00A541B9">
        <w:rPr>
          <w:b/>
        </w:rPr>
        <w:t>?</w:t>
      </w:r>
      <w:r w:rsidRPr="0081396E">
        <w:rPr>
          <w:b/>
        </w:rPr>
        <w:t xml:space="preserve"> </w:t>
      </w:r>
    </w:p>
    <w:p w14:paraId="3BD597C2" w14:textId="77777777" w:rsidR="006C4160" w:rsidRPr="006C4160" w:rsidRDefault="006C4160" w:rsidP="006C4160">
      <w:pPr>
        <w:pStyle w:val="List1stLevel"/>
        <w:numPr>
          <w:ilvl w:val="0"/>
          <w:numId w:val="0"/>
        </w:numPr>
        <w:jc w:val="both"/>
      </w:pPr>
    </w:p>
    <w:p w14:paraId="18C0D28D" w14:textId="3306A282" w:rsidR="00975B89" w:rsidRPr="0081396E" w:rsidRDefault="00975B89" w:rsidP="00975B89">
      <w:pPr>
        <w:pStyle w:val="Normal1"/>
        <w:rPr>
          <w:lang w:val="en-US"/>
        </w:rPr>
      </w:pPr>
      <w:r w:rsidRPr="0081396E">
        <w:rPr>
          <w:lang w:val="en-US"/>
        </w:rPr>
        <w:t xml:space="preserve">What </w:t>
      </w:r>
      <w:r w:rsidR="002876A0">
        <w:rPr>
          <w:lang w:val="en-US"/>
        </w:rPr>
        <w:t>W</w:t>
      </w:r>
      <w:r w:rsidRPr="0081396E">
        <w:rPr>
          <w:lang w:val="en-US"/>
        </w:rPr>
        <w:t>e Heard:</w:t>
      </w:r>
    </w:p>
    <w:p w14:paraId="5384A899" w14:textId="3075AC5C" w:rsidR="00AA33F6" w:rsidRDefault="00BF1770" w:rsidP="00BE2FEC">
      <w:pPr>
        <w:pStyle w:val="List1stLevel"/>
        <w:numPr>
          <w:ilvl w:val="0"/>
          <w:numId w:val="0"/>
        </w:numPr>
        <w:jc w:val="both"/>
      </w:pPr>
      <w:r>
        <w:t>Some s</w:t>
      </w:r>
      <w:r w:rsidR="00937F97">
        <w:t xml:space="preserve">takeholders </w:t>
      </w:r>
      <w:r>
        <w:t xml:space="preserve">questioned how TDG CID would support minimizing risk to public safety and questioned </w:t>
      </w:r>
      <w:r w:rsidR="0095680F">
        <w:t>the rationale for the TDG CID initiative</w:t>
      </w:r>
      <w:r w:rsidR="00002E76">
        <w:t xml:space="preserve">. </w:t>
      </w:r>
      <w:r w:rsidR="0095680F">
        <w:t>Specifically,</w:t>
      </w:r>
      <w:r w:rsidR="00A26403">
        <w:t xml:space="preserve"> it</w:t>
      </w:r>
      <w:r w:rsidR="0095680F">
        <w:t xml:space="preserve"> was</w:t>
      </w:r>
      <w:r w:rsidR="00F72B42">
        <w:t xml:space="preserve"> </w:t>
      </w:r>
      <w:r w:rsidR="005C6999">
        <w:t>felt</w:t>
      </w:r>
      <w:r w:rsidR="0095680F">
        <w:t xml:space="preserve"> that </w:t>
      </w:r>
      <w:r w:rsidR="00DC29EA">
        <w:t xml:space="preserve">to clarify the rationale, </w:t>
      </w:r>
      <w:r w:rsidR="0095680F">
        <w:t xml:space="preserve">TC needs to better </w:t>
      </w:r>
      <w:r w:rsidR="00DC29EA">
        <w:t>communicate</w:t>
      </w:r>
      <w:r w:rsidR="005C6999">
        <w:t xml:space="preserve"> </w:t>
      </w:r>
      <w:r w:rsidR="00F72B42">
        <w:t>how the</w:t>
      </w:r>
      <w:r w:rsidR="005F5278">
        <w:t xml:space="preserve"> </w:t>
      </w:r>
      <w:r w:rsidR="00876F02">
        <w:t>information gathered in</w:t>
      </w:r>
      <w:r w:rsidR="005C6999">
        <w:t xml:space="preserve"> TDG CID will</w:t>
      </w:r>
      <w:r w:rsidR="00937F97">
        <w:t>,</w:t>
      </w:r>
      <w:r w:rsidR="00876F02">
        <w:t xml:space="preserve"> </w:t>
      </w:r>
      <w:r w:rsidR="00DC29EA">
        <w:t>in practice</w:t>
      </w:r>
      <w:r w:rsidR="00937F97">
        <w:t>,</w:t>
      </w:r>
      <w:r w:rsidR="00DC29EA">
        <w:t xml:space="preserve"> </w:t>
      </w:r>
      <w:r w:rsidR="00876F02">
        <w:t xml:space="preserve">support </w:t>
      </w:r>
      <w:r w:rsidR="00C218F6">
        <w:t>TC</w:t>
      </w:r>
      <w:r w:rsidR="005C6999">
        <w:t xml:space="preserve"> to conduct </w:t>
      </w:r>
      <w:r w:rsidR="00876F02">
        <w:t xml:space="preserve">risk-based DG site assessments in such a way as to </w:t>
      </w:r>
      <w:r w:rsidR="00F72B42">
        <w:t>contribute to</w:t>
      </w:r>
      <w:r w:rsidR="00EC00CC">
        <w:t xml:space="preserve"> </w:t>
      </w:r>
      <w:r w:rsidR="00E61F14">
        <w:t>its</w:t>
      </w:r>
      <w:r w:rsidR="00EC00CC">
        <w:t xml:space="preserve"> </w:t>
      </w:r>
      <w:r w:rsidR="00876F02">
        <w:t>objective</w:t>
      </w:r>
      <w:r w:rsidR="00EC00CC">
        <w:t xml:space="preserve"> of </w:t>
      </w:r>
      <w:r w:rsidR="00960022">
        <w:t>minimiz</w:t>
      </w:r>
      <w:r w:rsidR="00EC00CC">
        <w:t>ing</w:t>
      </w:r>
      <w:r w:rsidR="00960022">
        <w:t xml:space="preserve"> risk to public safety</w:t>
      </w:r>
      <w:r w:rsidR="00876F02">
        <w:t>. To bridge this gap, stakeholders advised that the types of information required by TDG</w:t>
      </w:r>
      <w:r>
        <w:t xml:space="preserve"> </w:t>
      </w:r>
      <w:r w:rsidR="00876F02" w:rsidRPr="003B7AFF">
        <w:t>CID should directly reflect the criteria used by TC to assess risk</w:t>
      </w:r>
      <w:r w:rsidR="00876F02">
        <w:t>,</w:t>
      </w:r>
      <w:r w:rsidR="00876F02" w:rsidRPr="003B7AFF">
        <w:t xml:space="preserve"> and that TC should provide evidence that shows </w:t>
      </w:r>
      <w:r w:rsidR="00C218F6">
        <w:t>how any</w:t>
      </w:r>
      <w:r w:rsidR="00876F02" w:rsidRPr="003B7AFF">
        <w:t xml:space="preserve"> new requirements</w:t>
      </w:r>
      <w:r w:rsidR="00C218F6">
        <w:t xml:space="preserve"> developed based on TDG CID information</w:t>
      </w:r>
      <w:r w:rsidR="00876F02" w:rsidRPr="003B7AFF">
        <w:t xml:space="preserve"> me</w:t>
      </w:r>
      <w:r w:rsidR="00835390">
        <w:t xml:space="preserve">et </w:t>
      </w:r>
      <w:r w:rsidR="00937F97">
        <w:t>the ultimate desired outcome of safe communities</w:t>
      </w:r>
      <w:r w:rsidR="00876F02" w:rsidRPr="003B7AFF">
        <w:t xml:space="preserve">. </w:t>
      </w:r>
    </w:p>
    <w:p w14:paraId="4F557495" w14:textId="77777777" w:rsidR="00975B89" w:rsidRPr="00572365" w:rsidRDefault="00975B89" w:rsidP="00831AF2">
      <w:pPr>
        <w:pStyle w:val="List1stLevel"/>
        <w:numPr>
          <w:ilvl w:val="0"/>
          <w:numId w:val="0"/>
        </w:numPr>
      </w:pPr>
    </w:p>
    <w:p w14:paraId="3AA4974F" w14:textId="47A06BC0" w:rsidR="00667B62" w:rsidRPr="0081396E" w:rsidRDefault="001D1652" w:rsidP="0081396E">
      <w:pPr>
        <w:pStyle w:val="List1stLevel"/>
        <w:numPr>
          <w:ilvl w:val="0"/>
          <w:numId w:val="38"/>
        </w:numPr>
        <w:jc w:val="both"/>
        <w:rPr>
          <w:b/>
        </w:rPr>
      </w:pPr>
      <w:r w:rsidRPr="001D1652">
        <w:rPr>
          <w:b/>
        </w:rPr>
        <w:t>The administrative burden that registration would place on clients, and particularly on small businesses and clients who do not already collect data TC might require</w:t>
      </w:r>
      <w:r w:rsidR="00E73940">
        <w:rPr>
          <w:b/>
        </w:rPr>
        <w:t>.</w:t>
      </w:r>
    </w:p>
    <w:p w14:paraId="0C2BB363" w14:textId="77777777" w:rsidR="006C4160" w:rsidRPr="006C4160" w:rsidRDefault="006C4160" w:rsidP="006C4160">
      <w:pPr>
        <w:pStyle w:val="List1stLevel"/>
        <w:numPr>
          <w:ilvl w:val="0"/>
          <w:numId w:val="0"/>
        </w:numPr>
        <w:jc w:val="both"/>
      </w:pPr>
    </w:p>
    <w:p w14:paraId="4F6F3112" w14:textId="2095246E" w:rsidR="00975B89" w:rsidRPr="00E32410" w:rsidRDefault="00975B89" w:rsidP="00975B89">
      <w:pPr>
        <w:pStyle w:val="Normal1"/>
        <w:rPr>
          <w:lang w:val="en-US"/>
        </w:rPr>
      </w:pPr>
      <w:r w:rsidRPr="00E32410">
        <w:rPr>
          <w:lang w:val="en-US"/>
        </w:rPr>
        <w:t xml:space="preserve">What </w:t>
      </w:r>
      <w:r w:rsidR="002876A0">
        <w:rPr>
          <w:lang w:val="en-US"/>
        </w:rPr>
        <w:t>W</w:t>
      </w:r>
      <w:r w:rsidRPr="00E32410">
        <w:rPr>
          <w:lang w:val="en-US"/>
        </w:rPr>
        <w:t>e Heard:</w:t>
      </w:r>
    </w:p>
    <w:p w14:paraId="4D056669" w14:textId="565651BF" w:rsidR="00102B42" w:rsidRDefault="001D1652" w:rsidP="00102B42">
      <w:pPr>
        <w:pStyle w:val="List1stLevel"/>
        <w:numPr>
          <w:ilvl w:val="0"/>
          <w:numId w:val="0"/>
        </w:numPr>
        <w:jc w:val="both"/>
      </w:pPr>
      <w:r>
        <w:t>Some s</w:t>
      </w:r>
      <w:r w:rsidR="007A3108">
        <w:t xml:space="preserve">takeholders across a variety of industries communicated concern about the feasibility of implementing the TDG CID without causing administrative burden </w:t>
      </w:r>
      <w:r w:rsidR="002440F5">
        <w:t>on clients</w:t>
      </w:r>
      <w:r w:rsidR="00AD4E93">
        <w:t>,</w:t>
      </w:r>
      <w:r w:rsidR="002440F5">
        <w:t xml:space="preserve"> and</w:t>
      </w:r>
      <w:r w:rsidR="00E0260C">
        <w:t xml:space="preserve"> particularly that small business</w:t>
      </w:r>
      <w:r w:rsidR="00002E76">
        <w:t>es</w:t>
      </w:r>
      <w:r w:rsidR="00E0260C">
        <w:t xml:space="preserve"> may be challenged to collect and report on new data requirements related to registration.</w:t>
      </w:r>
      <w:r w:rsidR="007A3108">
        <w:t xml:space="preserve"> </w:t>
      </w:r>
      <w:r w:rsidR="00027098">
        <w:t>Issues</w:t>
      </w:r>
      <w:r w:rsidR="00102B42">
        <w:t xml:space="preserve"> on administrative burden</w:t>
      </w:r>
      <w:r w:rsidR="00027098">
        <w:t xml:space="preserve"> were rooted in</w:t>
      </w:r>
      <w:r w:rsidR="00102B42">
        <w:t xml:space="preserve"> the </w:t>
      </w:r>
      <w:r w:rsidR="00027098">
        <w:t xml:space="preserve">perceived </w:t>
      </w:r>
      <w:r w:rsidR="00102B42">
        <w:t xml:space="preserve">resource intensity for clients </w:t>
      </w:r>
      <w:r w:rsidR="00027098">
        <w:t>collecting</w:t>
      </w:r>
      <w:r w:rsidR="00102B42">
        <w:t xml:space="preserve"> and reporting</w:t>
      </w:r>
      <w:r w:rsidR="00027098">
        <w:t xml:space="preserve"> on</w:t>
      </w:r>
      <w:r>
        <w:t xml:space="preserve"> the</w:t>
      </w:r>
      <w:r w:rsidR="00027098">
        <w:t xml:space="preserve"> required data</w:t>
      </w:r>
      <w:r w:rsidR="00102B42">
        <w:t xml:space="preserve">. While all </w:t>
      </w:r>
      <w:r w:rsidR="00063E01">
        <w:t>stakeholders would be affected,</w:t>
      </w:r>
      <w:r w:rsidR="00E468E9">
        <w:t xml:space="preserve"> </w:t>
      </w:r>
      <w:r w:rsidR="00B54FF4">
        <w:t xml:space="preserve">some </w:t>
      </w:r>
      <w:r w:rsidR="00736FC7">
        <w:t xml:space="preserve">expressed </w:t>
      </w:r>
      <w:r w:rsidR="00F55801">
        <w:t>challenges with registration where some required information for TDG CID may not be readily available</w:t>
      </w:r>
      <w:r w:rsidR="00102B42">
        <w:t xml:space="preserve"> in the process of regular business operations, or where </w:t>
      </w:r>
      <w:r w:rsidR="00736FC7">
        <w:t>they do</w:t>
      </w:r>
      <w:r w:rsidR="00102B42">
        <w:t xml:space="preserve"> not have the resources to provide the amount, type or level of detail of information required</w:t>
      </w:r>
      <w:r w:rsidR="00454935">
        <w:t>.</w:t>
      </w:r>
      <w:r w:rsidR="00102B42">
        <w:t xml:space="preserve"> Stakeholders</w:t>
      </w:r>
      <w:r>
        <w:t xml:space="preserve"> also</w:t>
      </w:r>
      <w:r w:rsidR="00102B42">
        <w:t xml:space="preserve"> mentioned that some businesses </w:t>
      </w:r>
      <w:r>
        <w:t>may need to</w:t>
      </w:r>
      <w:r w:rsidR="00102B42">
        <w:t xml:space="preserve"> hire additional staff to report on specific DG activities due to their limited ability to provide </w:t>
      </w:r>
      <w:r>
        <w:t>the required information</w:t>
      </w:r>
      <w:r w:rsidR="00102B42">
        <w:t>, which could unduly decrease their profit margins. Stakeholders also pointed out that, should the administrative burden associated with registration be too great, some may choose to stop their DG activities entirely, which would have wider implications for Canada’s economy (e.g., small carriers who stop accepting DGs</w:t>
      </w:r>
      <w:r w:rsidR="00EF7531">
        <w:t xml:space="preserve"> and</w:t>
      </w:r>
      <w:r w:rsidR="00B54FF4">
        <w:t xml:space="preserve"> </w:t>
      </w:r>
      <w:r w:rsidR="00EF7531">
        <w:t>as a result</w:t>
      </w:r>
      <w:r w:rsidR="00B54FF4">
        <w:t xml:space="preserve"> reduc</w:t>
      </w:r>
      <w:r w:rsidR="00EF7531">
        <w:t>e</w:t>
      </w:r>
      <w:r w:rsidR="00B54FF4">
        <w:t xml:space="preserve"> </w:t>
      </w:r>
      <w:r w:rsidR="00EF7531">
        <w:t>the total number of businesses competing</w:t>
      </w:r>
      <w:r w:rsidR="00B54FF4">
        <w:t xml:space="preserve"> in the market.</w:t>
      </w:r>
      <w:r w:rsidR="00102B42">
        <w:t>).</w:t>
      </w:r>
    </w:p>
    <w:p w14:paraId="68187F1D" w14:textId="77777777" w:rsidR="00C5650B" w:rsidRDefault="00C5650B" w:rsidP="00102B42">
      <w:pPr>
        <w:pStyle w:val="List1stLevel"/>
        <w:numPr>
          <w:ilvl w:val="0"/>
          <w:numId w:val="0"/>
        </w:numPr>
        <w:jc w:val="both"/>
      </w:pPr>
    </w:p>
    <w:p w14:paraId="0D6F71DA" w14:textId="77777777" w:rsidR="00C5650B" w:rsidRPr="00C5650B" w:rsidRDefault="00C5650B" w:rsidP="00C5650B">
      <w:pPr>
        <w:pStyle w:val="List1stLevel"/>
        <w:numPr>
          <w:ilvl w:val="0"/>
          <w:numId w:val="38"/>
        </w:numPr>
        <w:jc w:val="both"/>
        <w:rPr>
          <w:b/>
        </w:rPr>
      </w:pPr>
      <w:r w:rsidRPr="00C5650B">
        <w:rPr>
          <w:b/>
        </w:rPr>
        <w:t>That TDG CID will cause registration duplication because stakeholders are already required to provide similar information to other federal and provincial departments, as well as to foreign entities in some cases.</w:t>
      </w:r>
    </w:p>
    <w:p w14:paraId="1E78700D" w14:textId="77777777" w:rsidR="00C5650B" w:rsidRDefault="00C5650B" w:rsidP="00102B42">
      <w:pPr>
        <w:pStyle w:val="List1stLevel"/>
        <w:numPr>
          <w:ilvl w:val="0"/>
          <w:numId w:val="0"/>
        </w:numPr>
        <w:jc w:val="both"/>
      </w:pPr>
    </w:p>
    <w:p w14:paraId="33018FF9" w14:textId="488AF224" w:rsidR="00C5650B" w:rsidRPr="00C5650B" w:rsidRDefault="00C5650B" w:rsidP="00B6414A">
      <w:pPr>
        <w:pStyle w:val="List1stLevel"/>
        <w:numPr>
          <w:ilvl w:val="0"/>
          <w:numId w:val="0"/>
        </w:numPr>
        <w:jc w:val="both"/>
        <w:rPr>
          <w:b/>
        </w:rPr>
      </w:pPr>
      <w:r>
        <w:rPr>
          <w:b/>
        </w:rPr>
        <w:t xml:space="preserve">What </w:t>
      </w:r>
      <w:r w:rsidR="0014220C">
        <w:rPr>
          <w:b/>
        </w:rPr>
        <w:t>W</w:t>
      </w:r>
      <w:r>
        <w:rPr>
          <w:b/>
        </w:rPr>
        <w:t>e Heard:</w:t>
      </w:r>
    </w:p>
    <w:p w14:paraId="7C842050" w14:textId="790CF280" w:rsidR="00B90DE5" w:rsidRDefault="00C5650B" w:rsidP="00B6414A">
      <w:pPr>
        <w:pStyle w:val="List1stLevel"/>
        <w:numPr>
          <w:ilvl w:val="0"/>
          <w:numId w:val="0"/>
        </w:numPr>
        <w:jc w:val="both"/>
      </w:pPr>
      <w:r>
        <w:t>S</w:t>
      </w:r>
      <w:r w:rsidR="001D1652">
        <w:t>ome s</w:t>
      </w:r>
      <w:r w:rsidR="00FE5F4D">
        <w:t>takeholders called attention to the issue of registration duplication</w:t>
      </w:r>
      <w:r w:rsidR="001153CD">
        <w:t>, which may be possible for some clients to absorb more easily than others</w:t>
      </w:r>
      <w:r w:rsidR="001B0D39">
        <w:t xml:space="preserve"> (e.g., a large company </w:t>
      </w:r>
      <w:r w:rsidR="00FB77CF">
        <w:t>versus</w:t>
      </w:r>
      <w:r w:rsidR="00B0572F">
        <w:t xml:space="preserve"> a self-incorporated</w:t>
      </w:r>
      <w:r w:rsidR="001B0D39">
        <w:t xml:space="preserve"> individual)</w:t>
      </w:r>
      <w:r>
        <w:t xml:space="preserve">. In part, </w:t>
      </w:r>
      <w:r w:rsidR="00B54FF4">
        <w:t>stakeholders</w:t>
      </w:r>
      <w:r>
        <w:t xml:space="preserve"> we</w:t>
      </w:r>
      <w:r w:rsidR="00FE5F4D">
        <w:t>re concerned that information demands of TDG CID w</w:t>
      </w:r>
      <w:r>
        <w:t>ould</w:t>
      </w:r>
      <w:r w:rsidR="00FE5F4D">
        <w:t xml:space="preserve"> be excessive given </w:t>
      </w:r>
      <w:r w:rsidR="00B54FF4">
        <w:t xml:space="preserve">that some businesses already need to provide </w:t>
      </w:r>
      <w:r w:rsidR="00092A85">
        <w:t>similar information to other federal departments, provinces and territories, and even in some cases to foreign entities.</w:t>
      </w:r>
      <w:r w:rsidR="00AD4E93">
        <w:t xml:space="preserve"> </w:t>
      </w:r>
      <w:r w:rsidR="00A122A4">
        <w:t>Th</w:t>
      </w:r>
      <w:r w:rsidR="00B54FF4">
        <w:t>e</w:t>
      </w:r>
      <w:r w:rsidR="00A122A4">
        <w:t xml:space="preserve"> duplication </w:t>
      </w:r>
      <w:r w:rsidR="00B54FF4">
        <w:t xml:space="preserve">of some requirements for TDG CID </w:t>
      </w:r>
      <w:r w:rsidR="00A122A4">
        <w:t>could also be problematic for businesses should discrepancies exist between what different entities requiring</w:t>
      </w:r>
      <w:r w:rsidR="00B54FF4">
        <w:t xml:space="preserve"> this</w:t>
      </w:r>
      <w:r w:rsidR="00A122A4">
        <w:t xml:space="preserve"> information consider a DG site or activity. </w:t>
      </w:r>
      <w:r w:rsidR="001B6E81">
        <w:t>To avoid causing clients to duplicate their efforts</w:t>
      </w:r>
      <w:r w:rsidR="006A736C">
        <w:t xml:space="preserve">, </w:t>
      </w:r>
      <w:r w:rsidR="007F6FB8">
        <w:t xml:space="preserve">stakeholders emphasized a </w:t>
      </w:r>
      <w:r w:rsidR="007F6FB8">
        <w:lastRenderedPageBreak/>
        <w:t>desire to see TC</w:t>
      </w:r>
      <w:r w:rsidR="002E5F7D">
        <w:t xml:space="preserve"> explore information sharing agreements within </w:t>
      </w:r>
      <w:r w:rsidR="004B2468">
        <w:t>the Government of Canada and to consult across government on lessons learned from similar initiatives.</w:t>
      </w:r>
    </w:p>
    <w:p w14:paraId="2EA2E5AE" w14:textId="77777777" w:rsidR="00C5650B" w:rsidRDefault="00C5650B" w:rsidP="006917BA">
      <w:pPr>
        <w:pStyle w:val="List1stLevel"/>
        <w:numPr>
          <w:ilvl w:val="0"/>
          <w:numId w:val="0"/>
        </w:numPr>
        <w:jc w:val="both"/>
      </w:pPr>
    </w:p>
    <w:p w14:paraId="136E4E0E" w14:textId="645C2778" w:rsidR="00BA4A30" w:rsidRDefault="00BA4A30" w:rsidP="00454935">
      <w:pPr>
        <w:pStyle w:val="List1stLevel"/>
        <w:numPr>
          <w:ilvl w:val="0"/>
          <w:numId w:val="38"/>
        </w:numPr>
        <w:jc w:val="both"/>
        <w:rPr>
          <w:b/>
        </w:rPr>
      </w:pPr>
      <w:r>
        <w:rPr>
          <w:b/>
        </w:rPr>
        <w:t>Additional considerations</w:t>
      </w:r>
    </w:p>
    <w:p w14:paraId="03DBFD02" w14:textId="57EBF337" w:rsidR="001E50E4" w:rsidRDefault="001E50E4" w:rsidP="00C5650B">
      <w:pPr>
        <w:pStyle w:val="List1stLevel"/>
        <w:numPr>
          <w:ilvl w:val="0"/>
          <w:numId w:val="0"/>
        </w:numPr>
        <w:jc w:val="both"/>
      </w:pPr>
      <w:r>
        <w:t>Clients also offered the following additional considerations:</w:t>
      </w:r>
    </w:p>
    <w:p w14:paraId="4ABCEF50" w14:textId="18C9802D" w:rsidR="001E50E4" w:rsidRDefault="001E50E4" w:rsidP="00454935">
      <w:pPr>
        <w:pStyle w:val="List1stLevel"/>
        <w:numPr>
          <w:ilvl w:val="0"/>
          <w:numId w:val="42"/>
        </w:numPr>
        <w:jc w:val="both"/>
      </w:pPr>
      <w:r>
        <w:t xml:space="preserve">Clients are interested to learn more about </w:t>
      </w:r>
      <w:r w:rsidR="007878BB">
        <w:t>implementation timelines for</w:t>
      </w:r>
      <w:r>
        <w:t xml:space="preserve"> T</w:t>
      </w:r>
      <w:r w:rsidR="007878BB">
        <w:t xml:space="preserve">DG CID, </w:t>
      </w:r>
      <w:r>
        <w:t>how it will be enforced</w:t>
      </w:r>
      <w:r w:rsidR="007878BB">
        <w:t>,</w:t>
      </w:r>
      <w:r w:rsidR="00C56D23">
        <w:t xml:space="preserve"> how it will be applied to TC’s risk-based oversight regime,</w:t>
      </w:r>
      <w:r w:rsidR="007878BB">
        <w:t xml:space="preserve"> and how clients will be made aware of new requirements for compliance.</w:t>
      </w:r>
    </w:p>
    <w:p w14:paraId="11DE7BBF" w14:textId="3669DB85" w:rsidR="001E50E4" w:rsidRDefault="007878BB" w:rsidP="00454935">
      <w:pPr>
        <w:pStyle w:val="List1stLevel"/>
        <w:numPr>
          <w:ilvl w:val="0"/>
          <w:numId w:val="42"/>
        </w:numPr>
        <w:jc w:val="both"/>
      </w:pPr>
      <w:r>
        <w:t>An online platform is the preferred mechanism by clients for registration, and the safeguarding of commercially sensitive information is important.</w:t>
      </w:r>
    </w:p>
    <w:p w14:paraId="161743AD" w14:textId="15781C2F" w:rsidR="007878BB" w:rsidRDefault="007878BB" w:rsidP="00454935">
      <w:pPr>
        <w:pStyle w:val="List1stLevel"/>
        <w:numPr>
          <w:ilvl w:val="0"/>
          <w:numId w:val="42"/>
        </w:numPr>
        <w:jc w:val="both"/>
      </w:pPr>
      <w:r>
        <w:t xml:space="preserve">Clients would like to continue to be </w:t>
      </w:r>
      <w:r w:rsidR="0081481C">
        <w:t xml:space="preserve">regularly </w:t>
      </w:r>
      <w:r>
        <w:t>engaged during the development of TDG CID.</w:t>
      </w:r>
    </w:p>
    <w:p w14:paraId="77FB0FF2" w14:textId="77777777" w:rsidR="00C5650B" w:rsidRDefault="00C5650B" w:rsidP="006917BA">
      <w:pPr>
        <w:pStyle w:val="List1stLevel"/>
        <w:numPr>
          <w:ilvl w:val="0"/>
          <w:numId w:val="0"/>
        </w:numPr>
        <w:jc w:val="both"/>
      </w:pPr>
    </w:p>
    <w:p w14:paraId="2031A684" w14:textId="12620A40" w:rsidR="00C3085B" w:rsidRPr="00017952" w:rsidRDefault="00F65C4F" w:rsidP="001D1652">
      <w:pPr>
        <w:pStyle w:val="10-SectionHeading"/>
        <w:ind w:left="0" w:firstLine="0"/>
        <w:rPr>
          <w:rFonts w:hint="eastAsia"/>
        </w:rPr>
      </w:pPr>
      <w:bookmarkStart w:id="2" w:name="_Toc293323922"/>
      <w:r w:rsidRPr="00017952">
        <w:t xml:space="preserve">TC’s </w:t>
      </w:r>
      <w:r w:rsidR="005938C2">
        <w:t xml:space="preserve">way forward </w:t>
      </w:r>
    </w:p>
    <w:p w14:paraId="4F0EBDD5" w14:textId="37F2E903" w:rsidR="00286EF4" w:rsidRDefault="00072258" w:rsidP="005721BF">
      <w:pPr>
        <w:pStyle w:val="List2ndLevel"/>
        <w:numPr>
          <w:ilvl w:val="0"/>
          <w:numId w:val="0"/>
        </w:numPr>
      </w:pPr>
      <w:bookmarkStart w:id="3" w:name="OLE_LINK1"/>
      <w:bookmarkStart w:id="4" w:name="OLE_LINK2"/>
      <w:bookmarkEnd w:id="2"/>
      <w:r>
        <w:t xml:space="preserve">The insights and information gathered from these consultations will inform the final scope of the TDG CID.  </w:t>
      </w:r>
      <w:r w:rsidR="004A172C">
        <w:t>TC</w:t>
      </w:r>
      <w:r w:rsidR="00002E76">
        <w:t>’s</w:t>
      </w:r>
      <w:r w:rsidR="004A172C">
        <w:t xml:space="preserve"> next steps are to explore the </w:t>
      </w:r>
      <w:r>
        <w:t>l</w:t>
      </w:r>
      <w:r w:rsidR="004A172C">
        <w:t xml:space="preserve">egislative, regulatory and policy amendments that will be required to </w:t>
      </w:r>
      <w:r w:rsidR="002368F8">
        <w:t>fully implement the TDG CID, to</w:t>
      </w:r>
      <w:r w:rsidR="005721BF">
        <w:t xml:space="preserve"> engage internal partners to</w:t>
      </w:r>
      <w:r w:rsidR="002368F8">
        <w:t xml:space="preserve"> develop the</w:t>
      </w:r>
      <w:r w:rsidR="00DB70A8">
        <w:t xml:space="preserve"> database</w:t>
      </w:r>
      <w:r w:rsidR="005721BF">
        <w:t xml:space="preserve"> for the TDG CID operational platform, and</w:t>
      </w:r>
      <w:r w:rsidR="002368F8">
        <w:t xml:space="preserve"> </w:t>
      </w:r>
      <w:r w:rsidR="004A172C">
        <w:t>to re-en</w:t>
      </w:r>
      <w:r w:rsidR="002368F8">
        <w:t xml:space="preserve">gage the stakeholder community </w:t>
      </w:r>
      <w:bookmarkEnd w:id="3"/>
      <w:bookmarkEnd w:id="4"/>
      <w:r w:rsidR="005721BF">
        <w:t>to discuss</w:t>
      </w:r>
      <w:r w:rsidR="00A230F3">
        <w:t xml:space="preserve"> the department’s final decisions on the TDG CID </w:t>
      </w:r>
      <w:r w:rsidR="005721BF">
        <w:t>scope.</w:t>
      </w:r>
      <w:r w:rsidR="00002E76">
        <w:t xml:space="preserve"> </w:t>
      </w:r>
      <w:r>
        <w:t xml:space="preserve">Publication in </w:t>
      </w:r>
      <w:r>
        <w:rPr>
          <w:i/>
        </w:rPr>
        <w:t xml:space="preserve">Canada Gazette, </w:t>
      </w:r>
      <w:r>
        <w:t xml:space="preserve">Part I is targeted for </w:t>
      </w:r>
      <w:r w:rsidR="00785425">
        <w:t>fall</w:t>
      </w:r>
      <w:r>
        <w:t xml:space="preserve"> 2020.</w:t>
      </w:r>
    </w:p>
    <w:p w14:paraId="1199FD3C" w14:textId="77777777" w:rsidR="00EF7531" w:rsidRDefault="00EF7531" w:rsidP="005721BF">
      <w:pPr>
        <w:pStyle w:val="List2ndLevel"/>
        <w:numPr>
          <w:ilvl w:val="0"/>
          <w:numId w:val="0"/>
        </w:numPr>
      </w:pPr>
    </w:p>
    <w:p w14:paraId="728717B7" w14:textId="5056BF74" w:rsidR="00EF7531" w:rsidRPr="007126E0" w:rsidRDefault="00EF7531" w:rsidP="00EF7531">
      <w:pPr>
        <w:pStyle w:val="Appendix2"/>
        <w:rPr>
          <w:rFonts w:hint="eastAsia"/>
        </w:rPr>
      </w:pPr>
      <w:r>
        <w:t>CONTACT OFFICE</w:t>
      </w:r>
    </w:p>
    <w:p w14:paraId="43A5B8D9" w14:textId="2AFBB755" w:rsidR="00EF7531" w:rsidRPr="005E09B4" w:rsidRDefault="00EF7531" w:rsidP="00EF7531">
      <w:pPr>
        <w:pStyle w:val="List1stLevel"/>
        <w:numPr>
          <w:ilvl w:val="0"/>
          <w:numId w:val="0"/>
        </w:numPr>
        <w:jc w:val="both"/>
      </w:pPr>
      <w:r>
        <w:t xml:space="preserve">This report was prepared by the Safety Policy and International Engagement Division of Regulatory Affairs Branch (Regulatory Frameworks and International Engagement). For more information, </w:t>
      </w:r>
      <w:r w:rsidRPr="00AB3D7F">
        <w:t>please contact</w:t>
      </w:r>
      <w:r>
        <w:t xml:space="preserve"> </w:t>
      </w:r>
      <w:r w:rsidRPr="005E09B4">
        <w:t>us</w:t>
      </w:r>
      <w:r>
        <w:t xml:space="preserve"> at</w:t>
      </w:r>
      <w:r w:rsidRPr="00AB3D7F">
        <w:t xml:space="preserve">: </w:t>
      </w:r>
      <w:hyperlink r:id="rId10" w:history="1">
        <w:r w:rsidRPr="001D6A6B">
          <w:rPr>
            <w:rStyle w:val="Hyperlink"/>
          </w:rPr>
          <w:t>TC.TDGPolicyProposal-PropositionpolitiquesTMD.TC@tc.gc.ca</w:t>
        </w:r>
      </w:hyperlink>
      <w:r>
        <w:t xml:space="preserve"> </w:t>
      </w:r>
    </w:p>
    <w:p w14:paraId="5B94B240" w14:textId="77777777" w:rsidR="00EF7531" w:rsidRPr="00F84F7E" w:rsidRDefault="00EF7531" w:rsidP="005721BF">
      <w:pPr>
        <w:pStyle w:val="List2ndLevel"/>
        <w:numPr>
          <w:ilvl w:val="0"/>
          <w:numId w:val="0"/>
        </w:numPr>
        <w:rPr>
          <w:rFonts w:eastAsia="Times New Roman"/>
          <w:szCs w:val="24"/>
          <w:lang w:val="en-US"/>
        </w:rPr>
      </w:pPr>
    </w:p>
    <w:p w14:paraId="41CB875F" w14:textId="28ABF5A2" w:rsidR="00AE023E" w:rsidRPr="00AE023E" w:rsidRDefault="00F12516" w:rsidP="00785425">
      <w:pPr>
        <w:pStyle w:val="Appendix"/>
      </w:pPr>
      <w:r w:rsidRPr="00AB3D7F">
        <w:rPr>
          <w:rFonts w:ascii="Arial" w:hAnsi="Arial"/>
          <w:szCs w:val="24"/>
        </w:rPr>
        <w:br w:type="page"/>
      </w:r>
      <w:r w:rsidR="00AE023E" w:rsidRPr="00AE023E">
        <w:lastRenderedPageBreak/>
        <w:t xml:space="preserve">APPENDIX </w:t>
      </w:r>
      <w:r w:rsidR="00EF7531">
        <w:t>A</w:t>
      </w:r>
      <w:r w:rsidR="00AE023E" w:rsidRPr="00AE023E">
        <w:t xml:space="preserve"> </w:t>
      </w:r>
      <w:r w:rsidR="00634047">
        <w:t>–</w:t>
      </w:r>
      <w:r w:rsidR="00AE023E" w:rsidRPr="00AE023E">
        <w:t xml:space="preserve"> CONSULTATIONS</w:t>
      </w:r>
      <w:r w:rsidR="00634047">
        <w:t xml:space="preserve"> OVERVIEW</w:t>
      </w:r>
    </w:p>
    <w:p w14:paraId="0A880334" w14:textId="67FB0FDB" w:rsidR="00AE023E" w:rsidRPr="00AE023E" w:rsidRDefault="00AE023E" w:rsidP="006E577D">
      <w:pPr>
        <w:tabs>
          <w:tab w:val="left" w:pos="900"/>
        </w:tabs>
        <w:spacing w:after="0" w:line="240" w:lineRule="auto"/>
        <w:rPr>
          <w:rFonts w:ascii="Arial" w:eastAsiaTheme="minorHAnsi" w:hAnsi="Arial"/>
        </w:rPr>
      </w:pPr>
      <w:r w:rsidRPr="00AE023E">
        <w:rPr>
          <w:rFonts w:ascii="Arial" w:eastAsiaTheme="minorHAnsi" w:hAnsi="Arial"/>
        </w:rPr>
        <w:t>Policy consultations on the scope of TDG CID occurred between February 19 a</w:t>
      </w:r>
      <w:r w:rsidR="000912FA">
        <w:rPr>
          <w:rFonts w:ascii="Arial" w:eastAsiaTheme="minorHAnsi" w:hAnsi="Arial"/>
        </w:rPr>
        <w:t>nd April 16</w:t>
      </w:r>
      <w:r w:rsidR="00EF7531">
        <w:rPr>
          <w:rFonts w:ascii="Arial" w:eastAsiaTheme="minorHAnsi" w:hAnsi="Arial"/>
        </w:rPr>
        <w:t>, 2018</w:t>
      </w:r>
      <w:r w:rsidR="000912FA">
        <w:rPr>
          <w:rFonts w:ascii="Arial" w:eastAsiaTheme="minorHAnsi" w:hAnsi="Arial"/>
        </w:rPr>
        <w:t xml:space="preserve"> (60 days).</w:t>
      </w:r>
    </w:p>
    <w:p w14:paraId="6B20BF93" w14:textId="77777777" w:rsidR="00AE023E" w:rsidRPr="00AE023E" w:rsidRDefault="00AE023E" w:rsidP="006E577D">
      <w:pPr>
        <w:spacing w:after="0" w:line="240" w:lineRule="auto"/>
        <w:rPr>
          <w:rFonts w:ascii="Arial" w:eastAsiaTheme="minorHAnsi" w:hAnsi="Arial"/>
        </w:rPr>
      </w:pPr>
    </w:p>
    <w:p w14:paraId="1EEF9871" w14:textId="77777777" w:rsidR="00AE023E" w:rsidRPr="00AE023E" w:rsidRDefault="00AE023E" w:rsidP="006E577D">
      <w:pPr>
        <w:spacing w:after="0" w:line="240" w:lineRule="auto"/>
        <w:rPr>
          <w:rFonts w:ascii="Arial" w:eastAsiaTheme="minorHAnsi" w:hAnsi="Arial"/>
        </w:rPr>
      </w:pPr>
      <w:r w:rsidRPr="00AE023E">
        <w:rPr>
          <w:rFonts w:ascii="Arial" w:eastAsiaTheme="minorHAnsi" w:hAnsi="Arial"/>
        </w:rPr>
        <w:t>Six face-to-face engagement sessions were held across Canada:</w:t>
      </w:r>
    </w:p>
    <w:p w14:paraId="62624EE1" w14:textId="77777777" w:rsidR="00AE023E" w:rsidRPr="00AE023E" w:rsidRDefault="00AE023E" w:rsidP="006E577D">
      <w:pPr>
        <w:spacing w:after="0" w:line="240" w:lineRule="auto"/>
        <w:rPr>
          <w:rFonts w:ascii="Arial" w:eastAsiaTheme="minorHAnsi" w:hAnsi="Arial"/>
        </w:rPr>
      </w:pPr>
    </w:p>
    <w:p w14:paraId="24B77BC6" w14:textId="77777777" w:rsidR="00A70CAE" w:rsidRPr="006E577D" w:rsidRDefault="00A70CAE" w:rsidP="00A70CAE">
      <w:pPr>
        <w:pStyle w:val="ListParagraph"/>
        <w:numPr>
          <w:ilvl w:val="0"/>
          <w:numId w:val="39"/>
        </w:numPr>
        <w:spacing w:after="0" w:line="240" w:lineRule="auto"/>
        <w:rPr>
          <w:rFonts w:ascii="Arial" w:eastAsiaTheme="minorHAnsi" w:hAnsi="Arial"/>
        </w:rPr>
      </w:pPr>
      <w:r w:rsidRPr="006E577D">
        <w:rPr>
          <w:rFonts w:ascii="Arial" w:eastAsiaTheme="minorHAnsi" w:hAnsi="Arial"/>
        </w:rPr>
        <w:t>Halifax (12 registered, 8 attended – of those who attended: 4 industry, 4 regulators);</w:t>
      </w:r>
    </w:p>
    <w:p w14:paraId="2E141B72" w14:textId="77777777" w:rsidR="00A70CAE" w:rsidRPr="006E577D" w:rsidRDefault="00A70CAE" w:rsidP="00A70CAE">
      <w:pPr>
        <w:pStyle w:val="ListParagraph"/>
        <w:numPr>
          <w:ilvl w:val="0"/>
          <w:numId w:val="39"/>
        </w:numPr>
        <w:spacing w:after="0" w:line="240" w:lineRule="auto"/>
        <w:rPr>
          <w:rFonts w:ascii="Arial" w:eastAsiaTheme="minorHAnsi" w:hAnsi="Arial"/>
        </w:rPr>
      </w:pPr>
      <w:r w:rsidRPr="006E577D">
        <w:rPr>
          <w:rFonts w:ascii="Arial" w:eastAsiaTheme="minorHAnsi" w:hAnsi="Arial"/>
        </w:rPr>
        <w:t>Montréal (25 registered, 23 attended – of those who attended: 16 industry, 2 regulators, 5 other);</w:t>
      </w:r>
    </w:p>
    <w:p w14:paraId="546DA6F3" w14:textId="77777777" w:rsidR="00A70CAE" w:rsidRPr="006E577D" w:rsidRDefault="00A70CAE" w:rsidP="00A70CAE">
      <w:pPr>
        <w:pStyle w:val="ListParagraph"/>
        <w:numPr>
          <w:ilvl w:val="0"/>
          <w:numId w:val="39"/>
        </w:numPr>
        <w:spacing w:after="0" w:line="240" w:lineRule="auto"/>
        <w:rPr>
          <w:rFonts w:ascii="Arial" w:eastAsiaTheme="minorHAnsi" w:hAnsi="Arial"/>
        </w:rPr>
      </w:pPr>
      <w:r w:rsidRPr="006E577D">
        <w:rPr>
          <w:rFonts w:ascii="Arial" w:eastAsiaTheme="minorHAnsi" w:hAnsi="Arial"/>
        </w:rPr>
        <w:t>Ottawa (10 registered, 7 attended – of those who attended: 6 industry, 1 regulator);</w:t>
      </w:r>
    </w:p>
    <w:p w14:paraId="0DAA9D82" w14:textId="77777777" w:rsidR="00A70CAE" w:rsidRPr="006E577D" w:rsidRDefault="00A70CAE" w:rsidP="00A70CAE">
      <w:pPr>
        <w:pStyle w:val="ListParagraph"/>
        <w:numPr>
          <w:ilvl w:val="0"/>
          <w:numId w:val="39"/>
        </w:numPr>
        <w:spacing w:after="0" w:line="240" w:lineRule="auto"/>
        <w:rPr>
          <w:rFonts w:ascii="Arial" w:eastAsiaTheme="minorHAnsi" w:hAnsi="Arial"/>
        </w:rPr>
      </w:pPr>
      <w:r w:rsidRPr="006E577D">
        <w:rPr>
          <w:rFonts w:ascii="Arial" w:eastAsiaTheme="minorHAnsi" w:hAnsi="Arial"/>
        </w:rPr>
        <w:t>Toronto (40 registered, 27 attended – of those who attended: 23 industry, 1 regulator, 3 other);</w:t>
      </w:r>
    </w:p>
    <w:p w14:paraId="656946E9" w14:textId="77777777" w:rsidR="00A70CAE" w:rsidRPr="006E577D" w:rsidRDefault="00A70CAE" w:rsidP="00A70CAE">
      <w:pPr>
        <w:pStyle w:val="ListParagraph"/>
        <w:numPr>
          <w:ilvl w:val="0"/>
          <w:numId w:val="39"/>
        </w:numPr>
        <w:spacing w:after="0" w:line="240" w:lineRule="auto"/>
        <w:rPr>
          <w:rFonts w:ascii="Arial" w:eastAsiaTheme="minorHAnsi" w:hAnsi="Arial"/>
        </w:rPr>
      </w:pPr>
      <w:r w:rsidRPr="006E577D">
        <w:rPr>
          <w:rFonts w:ascii="Arial" w:eastAsiaTheme="minorHAnsi" w:hAnsi="Arial"/>
        </w:rPr>
        <w:t>Calgary (23 registered, 17 attended – of those who attended: 15 industry; 2 other);</w:t>
      </w:r>
    </w:p>
    <w:p w14:paraId="6F395AF8" w14:textId="23D06B67" w:rsidR="00AE023E" w:rsidRPr="006E577D" w:rsidRDefault="00AE023E" w:rsidP="006E577D">
      <w:pPr>
        <w:pStyle w:val="ListParagraph"/>
        <w:numPr>
          <w:ilvl w:val="0"/>
          <w:numId w:val="39"/>
        </w:numPr>
        <w:spacing w:after="0" w:line="240" w:lineRule="auto"/>
        <w:rPr>
          <w:rFonts w:ascii="Arial" w:eastAsiaTheme="minorHAnsi" w:hAnsi="Arial"/>
        </w:rPr>
      </w:pPr>
      <w:r w:rsidRPr="006E577D">
        <w:rPr>
          <w:rFonts w:ascii="Arial" w:eastAsiaTheme="minorHAnsi" w:hAnsi="Arial"/>
        </w:rPr>
        <w:t>V</w:t>
      </w:r>
      <w:r w:rsidR="009B07A5">
        <w:rPr>
          <w:rFonts w:ascii="Arial" w:eastAsiaTheme="minorHAnsi" w:hAnsi="Arial"/>
        </w:rPr>
        <w:t>ancouver (20</w:t>
      </w:r>
      <w:r w:rsidRPr="006E577D">
        <w:rPr>
          <w:rFonts w:ascii="Arial" w:eastAsiaTheme="minorHAnsi" w:hAnsi="Arial"/>
        </w:rPr>
        <w:t xml:space="preserve"> registered, 1</w:t>
      </w:r>
      <w:r w:rsidR="009B07A5">
        <w:rPr>
          <w:rFonts w:ascii="Arial" w:eastAsiaTheme="minorHAnsi" w:hAnsi="Arial"/>
        </w:rPr>
        <w:t>6</w:t>
      </w:r>
      <w:r w:rsidRPr="006E577D">
        <w:rPr>
          <w:rFonts w:ascii="Arial" w:eastAsiaTheme="minorHAnsi" w:hAnsi="Arial"/>
        </w:rPr>
        <w:t xml:space="preserve"> atte</w:t>
      </w:r>
      <w:r w:rsidR="009B07A5">
        <w:rPr>
          <w:rFonts w:ascii="Arial" w:eastAsiaTheme="minorHAnsi" w:hAnsi="Arial"/>
        </w:rPr>
        <w:t>nded – of those who attended: 12</w:t>
      </w:r>
      <w:r w:rsidR="00443E01">
        <w:rPr>
          <w:rFonts w:ascii="Arial" w:eastAsiaTheme="minorHAnsi" w:hAnsi="Arial"/>
        </w:rPr>
        <w:t xml:space="preserve"> industry, 4</w:t>
      </w:r>
      <w:bookmarkStart w:id="5" w:name="_GoBack"/>
      <w:bookmarkEnd w:id="5"/>
      <w:r w:rsidRPr="006E577D">
        <w:rPr>
          <w:rFonts w:ascii="Arial" w:eastAsiaTheme="minorHAnsi" w:hAnsi="Arial"/>
        </w:rPr>
        <w:t xml:space="preserve"> other</w:t>
      </w:r>
      <w:r w:rsidR="000912FA" w:rsidRPr="006E577D">
        <w:rPr>
          <w:rFonts w:ascii="Arial" w:eastAsiaTheme="minorHAnsi" w:hAnsi="Arial"/>
        </w:rPr>
        <w:t>).</w:t>
      </w:r>
    </w:p>
    <w:p w14:paraId="23A7962F" w14:textId="77777777" w:rsidR="00AE023E" w:rsidRDefault="00AE023E" w:rsidP="006E577D">
      <w:pPr>
        <w:spacing w:after="0" w:line="240" w:lineRule="auto"/>
        <w:rPr>
          <w:rFonts w:ascii="Arial" w:eastAsiaTheme="minorHAnsi" w:hAnsi="Arial"/>
        </w:rPr>
      </w:pPr>
    </w:p>
    <w:p w14:paraId="187E7DC9" w14:textId="02AB044C" w:rsidR="00AE023E" w:rsidRDefault="00AE023E" w:rsidP="006E577D">
      <w:pPr>
        <w:spacing w:after="0" w:line="240" w:lineRule="auto"/>
        <w:rPr>
          <w:rFonts w:ascii="Arial" w:eastAsiaTheme="minorHAnsi" w:hAnsi="Arial"/>
        </w:rPr>
      </w:pPr>
      <w:r w:rsidRPr="00AE023E">
        <w:rPr>
          <w:rFonts w:ascii="Arial" w:eastAsiaTheme="minorHAnsi" w:hAnsi="Arial"/>
        </w:rPr>
        <w:t>A webinar was held in Winnipeg and the surrounding region (9 participants – 3 industry, 2 academics, and 4 provin</w:t>
      </w:r>
      <w:r w:rsidR="000912FA">
        <w:rPr>
          <w:rFonts w:ascii="Arial" w:eastAsiaTheme="minorHAnsi" w:hAnsi="Arial"/>
        </w:rPr>
        <w:t>cial non-regulators).</w:t>
      </w:r>
    </w:p>
    <w:p w14:paraId="2C560A36" w14:textId="77777777" w:rsidR="000912FA" w:rsidRDefault="000912FA" w:rsidP="006E577D">
      <w:pPr>
        <w:spacing w:after="0" w:line="240" w:lineRule="auto"/>
        <w:rPr>
          <w:rFonts w:ascii="Arial" w:eastAsiaTheme="minorHAnsi" w:hAnsi="Arial"/>
        </w:rPr>
      </w:pPr>
    </w:p>
    <w:p w14:paraId="47AC3594" w14:textId="03EB6841" w:rsidR="00AE023E" w:rsidRDefault="00AE023E" w:rsidP="006E577D">
      <w:pPr>
        <w:spacing w:after="0" w:line="240" w:lineRule="auto"/>
        <w:rPr>
          <w:rFonts w:ascii="Arial" w:eastAsiaTheme="minorHAnsi" w:hAnsi="Arial"/>
        </w:rPr>
      </w:pPr>
      <w:r w:rsidRPr="00AE023E">
        <w:rPr>
          <w:rFonts w:ascii="Arial" w:eastAsiaTheme="minorHAnsi" w:hAnsi="Arial"/>
        </w:rPr>
        <w:t xml:space="preserve">26 stakeholders completed </w:t>
      </w:r>
      <w:r w:rsidR="000912FA">
        <w:rPr>
          <w:rFonts w:ascii="Arial" w:eastAsiaTheme="minorHAnsi" w:hAnsi="Arial"/>
        </w:rPr>
        <w:t>an in-person, anonymous survey:</w:t>
      </w:r>
    </w:p>
    <w:p w14:paraId="7B158710" w14:textId="77777777" w:rsidR="000912FA" w:rsidRPr="00AE023E" w:rsidRDefault="000912FA" w:rsidP="006E577D">
      <w:pPr>
        <w:spacing w:after="0" w:line="240" w:lineRule="auto"/>
        <w:ind w:firstLine="720"/>
        <w:rPr>
          <w:rFonts w:ascii="Arial" w:eastAsiaTheme="minorHAnsi" w:hAnsi="Arial"/>
        </w:rPr>
      </w:pPr>
    </w:p>
    <w:p w14:paraId="34903E87" w14:textId="6C744C31" w:rsidR="00AE023E" w:rsidRDefault="00AE023E" w:rsidP="006E577D">
      <w:pPr>
        <w:pStyle w:val="ListParagraph"/>
        <w:numPr>
          <w:ilvl w:val="0"/>
          <w:numId w:val="39"/>
        </w:numPr>
        <w:spacing w:after="0" w:line="240" w:lineRule="auto"/>
        <w:rPr>
          <w:rFonts w:ascii="Arial" w:eastAsiaTheme="minorHAnsi" w:hAnsi="Arial"/>
        </w:rPr>
      </w:pPr>
      <w:r w:rsidRPr="00AE023E">
        <w:rPr>
          <w:rFonts w:ascii="Arial" w:eastAsiaTheme="minorHAnsi" w:hAnsi="Arial"/>
        </w:rPr>
        <w:t>Halifax (no</w:t>
      </w:r>
      <w:r w:rsidR="000912FA">
        <w:rPr>
          <w:rFonts w:ascii="Arial" w:eastAsiaTheme="minorHAnsi" w:hAnsi="Arial"/>
        </w:rPr>
        <w:t xml:space="preserve"> known</w:t>
      </w:r>
      <w:r w:rsidRPr="00AE023E">
        <w:rPr>
          <w:rFonts w:ascii="Arial" w:eastAsiaTheme="minorHAnsi" w:hAnsi="Arial"/>
        </w:rPr>
        <w:t xml:space="preserve"> respondents);</w:t>
      </w:r>
    </w:p>
    <w:p w14:paraId="1CBB956A" w14:textId="77777777" w:rsidR="00AE023E" w:rsidRDefault="00AE023E" w:rsidP="006E577D">
      <w:pPr>
        <w:pStyle w:val="ListParagraph"/>
        <w:numPr>
          <w:ilvl w:val="0"/>
          <w:numId w:val="39"/>
        </w:numPr>
        <w:spacing w:after="0" w:line="240" w:lineRule="auto"/>
        <w:rPr>
          <w:rFonts w:ascii="Arial" w:eastAsiaTheme="minorHAnsi" w:hAnsi="Arial"/>
        </w:rPr>
      </w:pPr>
      <w:r w:rsidRPr="00AE023E">
        <w:rPr>
          <w:rFonts w:ascii="Arial" w:eastAsiaTheme="minorHAnsi" w:hAnsi="Arial"/>
        </w:rPr>
        <w:t>Montréal (8 respondents);</w:t>
      </w:r>
    </w:p>
    <w:p w14:paraId="635FCB36" w14:textId="77777777" w:rsidR="00AE023E" w:rsidRDefault="00AE023E" w:rsidP="006E577D">
      <w:pPr>
        <w:pStyle w:val="ListParagraph"/>
        <w:numPr>
          <w:ilvl w:val="0"/>
          <w:numId w:val="39"/>
        </w:numPr>
        <w:spacing w:after="0" w:line="240" w:lineRule="auto"/>
        <w:rPr>
          <w:rFonts w:ascii="Arial" w:eastAsiaTheme="minorHAnsi" w:hAnsi="Arial"/>
        </w:rPr>
      </w:pPr>
      <w:r w:rsidRPr="00AE023E">
        <w:rPr>
          <w:rFonts w:ascii="Arial" w:eastAsiaTheme="minorHAnsi" w:hAnsi="Arial"/>
        </w:rPr>
        <w:t>Ottawa (no respondents);</w:t>
      </w:r>
    </w:p>
    <w:p w14:paraId="6D03D04C" w14:textId="77777777" w:rsidR="00AE023E" w:rsidRDefault="00AE023E" w:rsidP="006E577D">
      <w:pPr>
        <w:pStyle w:val="ListParagraph"/>
        <w:numPr>
          <w:ilvl w:val="0"/>
          <w:numId w:val="39"/>
        </w:numPr>
        <w:spacing w:after="0" w:line="240" w:lineRule="auto"/>
        <w:rPr>
          <w:rFonts w:ascii="Arial" w:eastAsiaTheme="minorHAnsi" w:hAnsi="Arial"/>
        </w:rPr>
      </w:pPr>
      <w:r w:rsidRPr="00AE023E">
        <w:rPr>
          <w:rFonts w:ascii="Arial" w:eastAsiaTheme="minorHAnsi" w:hAnsi="Arial"/>
        </w:rPr>
        <w:t>Toronto (11 respondents);</w:t>
      </w:r>
    </w:p>
    <w:p w14:paraId="465AF336" w14:textId="77777777" w:rsidR="00AE023E" w:rsidRDefault="00AE023E" w:rsidP="006E577D">
      <w:pPr>
        <w:pStyle w:val="ListParagraph"/>
        <w:numPr>
          <w:ilvl w:val="0"/>
          <w:numId w:val="39"/>
        </w:numPr>
        <w:spacing w:after="0" w:line="240" w:lineRule="auto"/>
        <w:rPr>
          <w:rFonts w:ascii="Arial" w:eastAsiaTheme="minorHAnsi" w:hAnsi="Arial"/>
        </w:rPr>
      </w:pPr>
      <w:r w:rsidRPr="00AE023E">
        <w:rPr>
          <w:rFonts w:ascii="Arial" w:eastAsiaTheme="minorHAnsi" w:hAnsi="Arial"/>
        </w:rPr>
        <w:t>Calgary (3 respondents);</w:t>
      </w:r>
    </w:p>
    <w:p w14:paraId="2A314558" w14:textId="708A632D" w:rsidR="00AE023E" w:rsidRDefault="000912FA" w:rsidP="006E577D">
      <w:pPr>
        <w:pStyle w:val="ListParagraph"/>
        <w:numPr>
          <w:ilvl w:val="0"/>
          <w:numId w:val="39"/>
        </w:numPr>
        <w:spacing w:after="0" w:line="240" w:lineRule="auto"/>
        <w:rPr>
          <w:rFonts w:ascii="Arial" w:eastAsiaTheme="minorHAnsi" w:hAnsi="Arial"/>
        </w:rPr>
      </w:pPr>
      <w:r>
        <w:rPr>
          <w:rFonts w:ascii="Arial" w:eastAsiaTheme="minorHAnsi" w:hAnsi="Arial"/>
        </w:rPr>
        <w:t>Vancouver (4 respondents).</w:t>
      </w:r>
    </w:p>
    <w:p w14:paraId="61C57E47" w14:textId="77777777" w:rsidR="000912FA" w:rsidRDefault="000912FA" w:rsidP="006E577D">
      <w:pPr>
        <w:spacing w:after="0" w:line="240" w:lineRule="auto"/>
        <w:rPr>
          <w:rFonts w:ascii="Arial" w:eastAsiaTheme="minorHAnsi" w:hAnsi="Arial"/>
        </w:rPr>
      </w:pPr>
    </w:p>
    <w:p w14:paraId="3F3E1BEF" w14:textId="025AE9AE" w:rsidR="00AE023E" w:rsidRDefault="00AE023E" w:rsidP="006E577D">
      <w:pPr>
        <w:spacing w:after="0" w:line="240" w:lineRule="auto"/>
        <w:rPr>
          <w:rFonts w:ascii="Arial" w:eastAsiaTheme="minorHAnsi" w:hAnsi="Arial"/>
        </w:rPr>
      </w:pPr>
      <w:r w:rsidRPr="00AE023E">
        <w:rPr>
          <w:rFonts w:ascii="Arial" w:eastAsiaTheme="minorHAnsi" w:hAnsi="Arial"/>
        </w:rPr>
        <w:t>22 stakeholders provided feedback anonymously through TC’s website.</w:t>
      </w:r>
    </w:p>
    <w:p w14:paraId="7C13DB05" w14:textId="77777777" w:rsidR="00002E76" w:rsidRDefault="00002E76" w:rsidP="006E577D">
      <w:pPr>
        <w:spacing w:after="0" w:line="240" w:lineRule="auto"/>
        <w:rPr>
          <w:rFonts w:ascii="Arial" w:eastAsiaTheme="minorHAnsi" w:hAnsi="Arial"/>
        </w:rPr>
      </w:pPr>
    </w:p>
    <w:p w14:paraId="20C647FA" w14:textId="71C410B8" w:rsidR="00002E76" w:rsidRPr="00AE023E" w:rsidRDefault="00002E76" w:rsidP="006E577D">
      <w:pPr>
        <w:spacing w:after="0" w:line="240" w:lineRule="auto"/>
        <w:rPr>
          <w:rFonts w:ascii="Arial" w:eastAsiaTheme="minorHAnsi" w:hAnsi="Arial"/>
        </w:rPr>
      </w:pPr>
      <w:r>
        <w:rPr>
          <w:rFonts w:ascii="Arial" w:eastAsiaTheme="minorHAnsi" w:hAnsi="Arial"/>
        </w:rPr>
        <w:t>16 stakeholders provided feedback directly to TDG by letter.</w:t>
      </w:r>
    </w:p>
    <w:p w14:paraId="661853F2" w14:textId="77777777" w:rsidR="00373621" w:rsidRPr="00785425" w:rsidRDefault="00373621" w:rsidP="00830DC3">
      <w:pPr>
        <w:pStyle w:val="Paragraph"/>
        <w:numPr>
          <w:ilvl w:val="0"/>
          <w:numId w:val="0"/>
        </w:numPr>
        <w:jc w:val="both"/>
      </w:pPr>
    </w:p>
    <w:p w14:paraId="4E596007" w14:textId="77777777" w:rsidR="00373621" w:rsidRPr="00785425" w:rsidRDefault="00373621" w:rsidP="00830DC3">
      <w:pPr>
        <w:pStyle w:val="Paragraph"/>
        <w:numPr>
          <w:ilvl w:val="0"/>
          <w:numId w:val="0"/>
        </w:numPr>
        <w:jc w:val="both"/>
      </w:pPr>
    </w:p>
    <w:p w14:paraId="55C5C2B6" w14:textId="77777777" w:rsidR="00373621" w:rsidRPr="00785425" w:rsidRDefault="00373621" w:rsidP="00830DC3">
      <w:pPr>
        <w:pStyle w:val="Paragraph"/>
        <w:numPr>
          <w:ilvl w:val="0"/>
          <w:numId w:val="0"/>
        </w:numPr>
        <w:jc w:val="both"/>
      </w:pPr>
    </w:p>
    <w:p w14:paraId="1ECB959D" w14:textId="77777777" w:rsidR="00373621" w:rsidRPr="00785425" w:rsidRDefault="00373621" w:rsidP="00830DC3">
      <w:pPr>
        <w:pStyle w:val="Paragraph"/>
        <w:numPr>
          <w:ilvl w:val="0"/>
          <w:numId w:val="0"/>
        </w:numPr>
        <w:jc w:val="both"/>
      </w:pPr>
    </w:p>
    <w:p w14:paraId="0337652E" w14:textId="77777777" w:rsidR="00373621" w:rsidRPr="00785425" w:rsidRDefault="00373621" w:rsidP="00830DC3">
      <w:pPr>
        <w:pStyle w:val="Paragraph"/>
        <w:numPr>
          <w:ilvl w:val="0"/>
          <w:numId w:val="0"/>
        </w:numPr>
        <w:jc w:val="both"/>
      </w:pPr>
    </w:p>
    <w:p w14:paraId="7F315193" w14:textId="77777777" w:rsidR="00373621" w:rsidRPr="00785425" w:rsidRDefault="00373621" w:rsidP="00830DC3">
      <w:pPr>
        <w:pStyle w:val="Paragraph"/>
        <w:numPr>
          <w:ilvl w:val="0"/>
          <w:numId w:val="0"/>
        </w:numPr>
        <w:jc w:val="both"/>
      </w:pPr>
    </w:p>
    <w:p w14:paraId="221379A1" w14:textId="77777777" w:rsidR="00373621" w:rsidRPr="00785425" w:rsidRDefault="00373621" w:rsidP="00830DC3">
      <w:pPr>
        <w:pStyle w:val="Paragraph"/>
        <w:numPr>
          <w:ilvl w:val="0"/>
          <w:numId w:val="0"/>
        </w:numPr>
        <w:jc w:val="both"/>
      </w:pPr>
    </w:p>
    <w:p w14:paraId="602DDE64" w14:textId="77777777" w:rsidR="00373621" w:rsidRPr="00785425" w:rsidRDefault="00373621" w:rsidP="00830DC3">
      <w:pPr>
        <w:pStyle w:val="Paragraph"/>
        <w:numPr>
          <w:ilvl w:val="0"/>
          <w:numId w:val="0"/>
        </w:numPr>
        <w:jc w:val="both"/>
      </w:pPr>
    </w:p>
    <w:p w14:paraId="5AB9986A" w14:textId="77777777" w:rsidR="00373621" w:rsidRPr="00785425" w:rsidRDefault="00373621" w:rsidP="00830DC3">
      <w:pPr>
        <w:pStyle w:val="Paragraph"/>
        <w:numPr>
          <w:ilvl w:val="0"/>
          <w:numId w:val="0"/>
        </w:numPr>
        <w:jc w:val="both"/>
      </w:pPr>
    </w:p>
    <w:p w14:paraId="3A74C9D7" w14:textId="7F4A7285" w:rsidR="00917A44" w:rsidRPr="00EF7531" w:rsidRDefault="00373621" w:rsidP="00830DC3">
      <w:pPr>
        <w:pStyle w:val="Paragraph"/>
        <w:numPr>
          <w:ilvl w:val="0"/>
          <w:numId w:val="0"/>
        </w:numPr>
        <w:jc w:val="both"/>
        <w:rPr>
          <w:i/>
        </w:rPr>
      </w:pPr>
      <w:r w:rsidRPr="00785425">
        <w:rPr>
          <w:b/>
          <w:i/>
        </w:rPr>
        <w:t>N</w:t>
      </w:r>
      <w:r w:rsidR="00EF7531" w:rsidRPr="00785425">
        <w:rPr>
          <w:b/>
          <w:i/>
        </w:rPr>
        <w:t>ote</w:t>
      </w:r>
      <w:r w:rsidRPr="00785425">
        <w:rPr>
          <w:b/>
          <w:i/>
        </w:rPr>
        <w:t>:</w:t>
      </w:r>
      <w:r w:rsidR="00EF7531">
        <w:rPr>
          <w:i/>
        </w:rPr>
        <w:t xml:space="preserve"> </w:t>
      </w:r>
      <w:r>
        <w:rPr>
          <w:i/>
        </w:rPr>
        <w:t>T</w:t>
      </w:r>
      <w:r w:rsidR="00EF7531">
        <w:rPr>
          <w:i/>
        </w:rPr>
        <w:t>he total stakeholder count of 134 in the background section is not directly equal to those listed in this Appendix, as some stakeholders participated via more than one engagement channel.</w:t>
      </w:r>
    </w:p>
    <w:sectPr w:rsidR="00917A44" w:rsidRPr="00EF7531" w:rsidSect="008F281E">
      <w:headerReference w:type="default" r:id="rId11"/>
      <w:footerReference w:type="default" r:id="rId12"/>
      <w:headerReference w:type="first" r:id="rId13"/>
      <w:footerReference w:type="first" r:id="rId14"/>
      <w:pgSz w:w="12240" w:h="15840"/>
      <w:pgMar w:top="1440" w:right="1183"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B307B" w14:textId="77777777" w:rsidR="0088423B" w:rsidRDefault="0088423B" w:rsidP="00C72C8C">
      <w:pPr>
        <w:spacing w:after="0" w:line="240" w:lineRule="auto"/>
      </w:pPr>
      <w:r>
        <w:separator/>
      </w:r>
    </w:p>
  </w:endnote>
  <w:endnote w:type="continuationSeparator" w:id="0">
    <w:p w14:paraId="2BCAA162" w14:textId="77777777" w:rsidR="0088423B" w:rsidRDefault="0088423B" w:rsidP="00C72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DF368" w14:textId="7E35A969" w:rsidR="00DA4903" w:rsidRPr="00695EA5" w:rsidRDefault="00DD1D97" w:rsidP="00695EA5">
    <w:pPr>
      <w:pStyle w:val="Footer"/>
      <w:tabs>
        <w:tab w:val="clear" w:pos="9360"/>
        <w:tab w:val="right" w:pos="9617"/>
      </w:tabs>
      <w:rPr>
        <w:rFonts w:ascii="Arial" w:hAnsi="Arial"/>
        <w:sz w:val="16"/>
        <w:szCs w:val="16"/>
      </w:rPr>
    </w:pPr>
    <w:r w:rsidRPr="00695EA5">
      <w:rPr>
        <w:rStyle w:val="PageNumber"/>
        <w:rFonts w:ascii="Arial" w:hAnsi="Arial"/>
        <w:sz w:val="16"/>
        <w:szCs w:val="16"/>
      </w:rPr>
      <w:tab/>
    </w:r>
    <w:r w:rsidRPr="00695EA5">
      <w:rPr>
        <w:rStyle w:val="PageNumber"/>
        <w:rFonts w:ascii="Arial" w:hAnsi="Arial"/>
        <w:sz w:val="16"/>
        <w:szCs w:val="16"/>
      </w:rPr>
      <w:fldChar w:fldCharType="begin"/>
    </w:r>
    <w:r w:rsidRPr="00695EA5">
      <w:rPr>
        <w:rStyle w:val="PageNumber"/>
        <w:rFonts w:ascii="Arial" w:hAnsi="Arial"/>
        <w:sz w:val="16"/>
        <w:szCs w:val="16"/>
      </w:rPr>
      <w:instrText xml:space="preserve"> PAGE </w:instrText>
    </w:r>
    <w:r w:rsidRPr="00695EA5">
      <w:rPr>
        <w:rStyle w:val="PageNumber"/>
        <w:rFonts w:ascii="Arial" w:hAnsi="Arial"/>
        <w:sz w:val="16"/>
        <w:szCs w:val="16"/>
      </w:rPr>
      <w:fldChar w:fldCharType="separate"/>
    </w:r>
    <w:r w:rsidR="00443E01">
      <w:rPr>
        <w:rStyle w:val="PageNumber"/>
        <w:rFonts w:ascii="Arial" w:hAnsi="Arial"/>
        <w:noProof/>
        <w:sz w:val="16"/>
        <w:szCs w:val="16"/>
      </w:rPr>
      <w:t>4</w:t>
    </w:r>
    <w:r w:rsidRPr="00695EA5">
      <w:rPr>
        <w:rStyle w:val="PageNumber"/>
        <w:rFonts w:ascii="Arial" w:hAnsi="Arial"/>
        <w:sz w:val="16"/>
        <w:szCs w:val="16"/>
      </w:rPr>
      <w:fldChar w:fldCharType="end"/>
    </w:r>
    <w:r w:rsidRPr="00695EA5">
      <w:rPr>
        <w:rStyle w:val="PageNumber"/>
        <w:rFonts w:ascii="Arial" w:hAnsi="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6CFE2" w14:textId="77777777" w:rsidR="00DA4903" w:rsidRDefault="00DA4903" w:rsidP="00731BB5">
    <w:pPr>
      <w:pStyle w:val="Footer"/>
      <w:pBdr>
        <w:top w:val="single" w:sz="6" w:space="1" w:color="auto"/>
      </w:pBdr>
    </w:pPr>
    <w:r>
      <w:tab/>
    </w:r>
    <w:r>
      <w:tab/>
    </w:r>
    <w:bookmarkStart w:id="6" w:name="_MON_1224679007"/>
    <w:bookmarkEnd w:id="6"/>
    <w:bookmarkStart w:id="7" w:name="_MON_1224679024"/>
    <w:bookmarkEnd w:id="7"/>
    <w:r w:rsidR="006C053C">
      <w:object w:dxaOrig="1545" w:dyaOrig="451" w14:anchorId="421A7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21.6pt" o:ole="">
          <v:imagedata r:id="rId1" o:title=""/>
        </v:shape>
        <o:OLEObject Type="Embed" ProgID="Word.Picture.8" ShapeID="_x0000_i1025" DrawAspect="Content" ObjectID="_1604303867"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8A5A4" w14:textId="77777777" w:rsidR="0088423B" w:rsidRDefault="0088423B" w:rsidP="00C72C8C">
      <w:pPr>
        <w:spacing w:after="0" w:line="240" w:lineRule="auto"/>
      </w:pPr>
      <w:r>
        <w:separator/>
      </w:r>
    </w:p>
  </w:footnote>
  <w:footnote w:type="continuationSeparator" w:id="0">
    <w:p w14:paraId="16A6A64F" w14:textId="77777777" w:rsidR="0088423B" w:rsidRDefault="0088423B" w:rsidP="00C72C8C">
      <w:pPr>
        <w:spacing w:after="0" w:line="240" w:lineRule="auto"/>
      </w:pPr>
      <w:r>
        <w:continuationSeparator/>
      </w:r>
    </w:p>
  </w:footnote>
  <w:footnote w:id="1">
    <w:p w14:paraId="72B21550" w14:textId="2A081C85" w:rsidR="00883438" w:rsidRDefault="00883438" w:rsidP="00F55801">
      <w:pPr>
        <w:pStyle w:val="FootnoteText"/>
      </w:pPr>
      <w:r>
        <w:rPr>
          <w:rStyle w:val="FootnoteReference"/>
        </w:rPr>
        <w:footnoteRef/>
      </w:r>
      <w:r>
        <w:t xml:space="preserve"> Please see Annex </w:t>
      </w:r>
      <w:r w:rsidR="006E656C">
        <w:t>A</w:t>
      </w:r>
      <w:r w:rsidR="00EF7531">
        <w:t xml:space="preserve"> for an overview </w:t>
      </w:r>
      <w:r>
        <w:t>of consultation participation by engagement type and region.</w:t>
      </w:r>
    </w:p>
  </w:footnote>
  <w:footnote w:id="2">
    <w:p w14:paraId="1B6E6EF1" w14:textId="1A89A556" w:rsidR="006E656C" w:rsidRPr="006E656C" w:rsidRDefault="006E656C" w:rsidP="00F55801">
      <w:pPr>
        <w:pStyle w:val="Paragraph"/>
        <w:numPr>
          <w:ilvl w:val="0"/>
          <w:numId w:val="0"/>
        </w:numPr>
        <w:spacing w:before="0" w:after="0" w:line="240" w:lineRule="auto"/>
        <w:ind w:left="720" w:hanging="720"/>
        <w:rPr>
          <w:rFonts w:ascii="Calibri" w:hAnsi="Calibri"/>
          <w:szCs w:val="20"/>
          <w:lang w:val="en-US"/>
        </w:rPr>
      </w:pPr>
      <w:r>
        <w:rPr>
          <w:rStyle w:val="FootnoteReference"/>
        </w:rPr>
        <w:footnoteRef/>
      </w:r>
      <w:r>
        <w:t xml:space="preserve"> </w:t>
      </w:r>
      <w:r w:rsidRPr="006E656C">
        <w:rPr>
          <w:rFonts w:ascii="Calibri" w:hAnsi="Calibri"/>
          <w:szCs w:val="20"/>
          <w:lang w:val="en-US"/>
        </w:rPr>
        <w:t xml:space="preserve">All terms within this document refer to them as defined within the TDGA and TDGR. </w:t>
      </w:r>
    </w:p>
    <w:p w14:paraId="0084B983" w14:textId="18088F4E" w:rsidR="006E656C" w:rsidRPr="006E656C" w:rsidRDefault="006E656C">
      <w:pPr>
        <w:pStyle w:val="FootnoteText"/>
        <w:rPr>
          <w:lang w:val="en-C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BC1A" w14:textId="74C36AB6" w:rsidR="00DA4903" w:rsidRPr="006B7F4C" w:rsidRDefault="00901EA8" w:rsidP="006B7F4C">
    <w:pPr>
      <w:pBdr>
        <w:bottom w:val="single" w:sz="4" w:space="1" w:color="auto"/>
      </w:pBdr>
      <w:tabs>
        <w:tab w:val="center" w:pos="4320"/>
        <w:tab w:val="right" w:pos="8640"/>
      </w:tabs>
      <w:overflowPunct w:val="0"/>
      <w:autoSpaceDE w:val="0"/>
      <w:autoSpaceDN w:val="0"/>
      <w:adjustRightInd w:val="0"/>
      <w:spacing w:after="0" w:line="240" w:lineRule="exact"/>
      <w:jc w:val="right"/>
      <w:textAlignment w:val="baseline"/>
      <w:rPr>
        <w:rFonts w:ascii="Arial" w:eastAsia="Times New Roman" w:hAnsi="Arial"/>
        <w:sz w:val="20"/>
        <w:szCs w:val="20"/>
        <w:lang w:val="en-CA"/>
      </w:rPr>
    </w:pPr>
    <w:r>
      <w:rPr>
        <w:rStyle w:val="PlaceholderText"/>
        <w:rFonts w:ascii="Arial" w:hAnsi="Arial"/>
        <w:sz w:val="20"/>
        <w:szCs w:val="20"/>
      </w:rPr>
      <w:t>TDG</w:t>
    </w:r>
    <w:r w:rsidR="00146E00">
      <w:rPr>
        <w:rStyle w:val="PlaceholderText"/>
        <w:rFonts w:ascii="Arial" w:hAnsi="Arial"/>
        <w:sz w:val="20"/>
        <w:szCs w:val="20"/>
      </w:rPr>
      <w:t xml:space="preserve"> </w:t>
    </w:r>
    <w:r>
      <w:rPr>
        <w:rStyle w:val="PlaceholderText"/>
        <w:rFonts w:ascii="Arial" w:hAnsi="Arial"/>
        <w:sz w:val="20"/>
        <w:szCs w:val="20"/>
      </w:rPr>
      <w:t>CID Consultations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B0D52" w14:textId="70FE24E2" w:rsidR="00700FCF" w:rsidRDefault="00C558CF">
    <w:pPr>
      <w:pStyle w:val="Header"/>
    </w:pPr>
    <w:r>
      <w:rPr>
        <w:noProof/>
      </w:rPr>
      <w:drawing>
        <wp:anchor distT="0" distB="0" distL="114300" distR="114300" simplePos="0" relativeHeight="251657216" behindDoc="0" locked="0" layoutInCell="1" allowOverlap="1" wp14:anchorId="3E53B0F9" wp14:editId="2BB91487">
          <wp:simplePos x="0" y="0"/>
          <wp:positionH relativeFrom="column">
            <wp:posOffset>-938728</wp:posOffset>
          </wp:positionH>
          <wp:positionV relativeFrom="paragraph">
            <wp:posOffset>-445457</wp:posOffset>
          </wp:positionV>
          <wp:extent cx="7835900" cy="2493645"/>
          <wp:effectExtent l="0" t="0" r="0" b="1905"/>
          <wp:wrapThrough wrapText="bothSides">
            <wp:wrapPolygon edited="0">
              <wp:start x="0" y="0"/>
              <wp:lineTo x="0" y="21451"/>
              <wp:lineTo x="21530" y="21451"/>
              <wp:lineTo x="21530" y="0"/>
              <wp:lineTo x="0" y="0"/>
            </wp:wrapPolygon>
          </wp:wrapThrough>
          <wp:docPr id="11" name="Picture 11" descr="Description: C:\Xtemp Tsmith files\TDG Quality Assurance Program documents\Professional Svcs Contacts\Doc FW with Dave Howard\Presentation1 en\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Xtemp Tsmith files\TDG Quality Assurance Program documents\Professional Svcs Contacts\Doc FW with Dave Howard\Presentation1 en\Slide1.JPG"/>
                  <pic:cNvPicPr>
                    <a:picLocks noChangeAspect="1" noChangeArrowheads="1"/>
                  </pic:cNvPicPr>
                </pic:nvPicPr>
                <pic:blipFill>
                  <a:blip r:embed="rId1">
                    <a:extLst>
                      <a:ext uri="{28A0092B-C50C-407E-A947-70E740481C1C}">
                        <a14:useLocalDpi xmlns:a14="http://schemas.microsoft.com/office/drawing/2010/main" val="0"/>
                      </a:ext>
                    </a:extLst>
                  </a:blip>
                  <a:srcRect b="44676"/>
                  <a:stretch>
                    <a:fillRect/>
                  </a:stretch>
                </pic:blipFill>
                <pic:spPr bwMode="auto">
                  <a:xfrm>
                    <a:off x="0" y="0"/>
                    <a:ext cx="7835900" cy="2493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E22"/>
    <w:multiLevelType w:val="hybridMultilevel"/>
    <w:tmpl w:val="C9C8B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A24A3"/>
    <w:multiLevelType w:val="hybridMultilevel"/>
    <w:tmpl w:val="CDA85B00"/>
    <w:lvl w:ilvl="0" w:tplc="41F6F9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2E537F"/>
    <w:multiLevelType w:val="multilevel"/>
    <w:tmpl w:val="AFF49D50"/>
    <w:lvl w:ilvl="0">
      <w:start w:val="1"/>
      <w:numFmt w:val="decimal"/>
      <w:lvlText w:val="%1.0"/>
      <w:lvlJc w:val="left"/>
      <w:pPr>
        <w:ind w:left="720" w:hanging="720"/>
      </w:pPr>
      <w:rPr>
        <w:rFonts w:hint="default"/>
      </w:rPr>
    </w:lvl>
    <w:lvl w:ilvl="1">
      <w:start w:val="1"/>
      <w:numFmt w:val="decimal"/>
      <w:pStyle w:val="11-Subsection"/>
      <w:lvlText w:val="%1.%2"/>
      <w:lvlJc w:val="left"/>
      <w:pPr>
        <w:ind w:left="720" w:hanging="720"/>
      </w:pPr>
      <w:rPr>
        <w:rFonts w:hint="default"/>
      </w:rPr>
    </w:lvl>
    <w:lvl w:ilvl="2">
      <w:start w:val="1"/>
      <w:numFmt w:val="decimal"/>
      <w:pStyle w:val="Paragraph"/>
      <w:lvlText w:val="(%3)"/>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pStyle w:val="List1stLevel"/>
      <w:lvlText w:val="(%4)"/>
      <w:lvlJc w:val="left"/>
      <w:pPr>
        <w:ind w:left="1440" w:hanging="720"/>
      </w:pPr>
      <w:rPr>
        <w:rFonts w:hint="default"/>
        <w:b w:val="0"/>
      </w:rPr>
    </w:lvl>
    <w:lvl w:ilvl="4">
      <w:start w:val="1"/>
      <w:numFmt w:val="lowerRoman"/>
      <w:pStyle w:val="List2ndLevel"/>
      <w:lvlText w:val="(%5)"/>
      <w:lvlJc w:val="left"/>
      <w:pPr>
        <w:ind w:left="2160" w:hanging="720"/>
      </w:pPr>
      <w:rPr>
        <w:rFonts w:hint="default"/>
      </w:rPr>
    </w:lvl>
    <w:lvl w:ilvl="5">
      <w:start w:val="1"/>
      <w:numFmt w:val="bullet"/>
      <w:pStyle w:val="Level6"/>
      <w:lvlText w:val=""/>
      <w:lvlJc w:val="left"/>
      <w:pPr>
        <w:ind w:left="2880" w:hanging="720"/>
      </w:pPr>
      <w:rPr>
        <w:rFonts w:ascii="Symbol" w:hAnsi="Symbol" w:hint="default"/>
        <w:sz w:val="18"/>
      </w:rPr>
    </w:lvl>
    <w:lvl w:ilvl="6">
      <w:start w:val="1"/>
      <w:numFmt w:val="upperRoman"/>
      <w:pStyle w:val="Level7"/>
      <w:lvlText w:val="(%7)"/>
      <w:lvlJc w:val="left"/>
      <w:pPr>
        <w:ind w:left="3600" w:hanging="720"/>
      </w:pPr>
      <w:rPr>
        <w:rFonts w:hint="default"/>
      </w:rPr>
    </w:lvl>
    <w:lvl w:ilvl="7">
      <w:start w:val="1"/>
      <w:numFmt w:val="lowerLetter"/>
      <w:lvlText w:val="%8."/>
      <w:lvlJc w:val="left"/>
      <w:pPr>
        <w:ind w:left="720" w:hanging="648"/>
      </w:pPr>
      <w:rPr>
        <w:rFonts w:hint="default"/>
      </w:rPr>
    </w:lvl>
    <w:lvl w:ilvl="8">
      <w:start w:val="1"/>
      <w:numFmt w:val="lowerRoman"/>
      <w:lvlText w:val="%9."/>
      <w:lvlJc w:val="left"/>
      <w:pPr>
        <w:ind w:left="720" w:hanging="648"/>
      </w:pPr>
      <w:rPr>
        <w:rFonts w:hint="default"/>
      </w:rPr>
    </w:lvl>
  </w:abstractNum>
  <w:abstractNum w:abstractNumId="3" w15:restartNumberingAfterBreak="0">
    <w:nsid w:val="14215C83"/>
    <w:multiLevelType w:val="hybridMultilevel"/>
    <w:tmpl w:val="C9C8B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61B82"/>
    <w:multiLevelType w:val="hybridMultilevel"/>
    <w:tmpl w:val="7116C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C1111"/>
    <w:multiLevelType w:val="hybridMultilevel"/>
    <w:tmpl w:val="C4DE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A4EF8"/>
    <w:multiLevelType w:val="hybridMultilevel"/>
    <w:tmpl w:val="1AF44E7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D52943"/>
    <w:multiLevelType w:val="multilevel"/>
    <w:tmpl w:val="6846D558"/>
    <w:styleLink w:val="CustomList"/>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upperLetter"/>
      <w:lvlText w:val="(%6)"/>
      <w:lvlJc w:val="left"/>
      <w:pPr>
        <w:ind w:left="2880" w:hanging="720"/>
      </w:pPr>
      <w:rPr>
        <w:rFonts w:hint="default"/>
      </w:rPr>
    </w:lvl>
    <w:lvl w:ilvl="6">
      <w:start w:val="1"/>
      <w:numFmt w:val="upperRoman"/>
      <w:lvlText w:val="(%7)"/>
      <w:lvlJc w:val="left"/>
      <w:pPr>
        <w:ind w:left="3600" w:hanging="720"/>
      </w:pPr>
      <w:rPr>
        <w:rFonts w:hint="default"/>
      </w:rPr>
    </w:lvl>
    <w:lvl w:ilvl="7">
      <w:start w:val="1"/>
      <w:numFmt w:val="lowerLetter"/>
      <w:lvlText w:val="%8."/>
      <w:lvlJc w:val="left"/>
      <w:pPr>
        <w:ind w:left="720" w:hanging="648"/>
      </w:pPr>
      <w:rPr>
        <w:rFonts w:hint="default"/>
      </w:rPr>
    </w:lvl>
    <w:lvl w:ilvl="8">
      <w:start w:val="1"/>
      <w:numFmt w:val="lowerRoman"/>
      <w:lvlText w:val="%9."/>
      <w:lvlJc w:val="left"/>
      <w:pPr>
        <w:ind w:left="720" w:hanging="648"/>
      </w:pPr>
      <w:rPr>
        <w:rFonts w:hint="default"/>
      </w:rPr>
    </w:lvl>
  </w:abstractNum>
  <w:abstractNum w:abstractNumId="8" w15:restartNumberingAfterBreak="0">
    <w:nsid w:val="2D73531A"/>
    <w:multiLevelType w:val="hybridMultilevel"/>
    <w:tmpl w:val="9B04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942A7"/>
    <w:multiLevelType w:val="hybridMultilevel"/>
    <w:tmpl w:val="4176D32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35D435F"/>
    <w:multiLevelType w:val="hybridMultilevel"/>
    <w:tmpl w:val="3C68EC96"/>
    <w:lvl w:ilvl="0" w:tplc="BB2C4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21C04"/>
    <w:multiLevelType w:val="hybridMultilevel"/>
    <w:tmpl w:val="1422B894"/>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2" w15:restartNumberingAfterBreak="0">
    <w:nsid w:val="42EF15E9"/>
    <w:multiLevelType w:val="hybridMultilevel"/>
    <w:tmpl w:val="694858BC"/>
    <w:lvl w:ilvl="0" w:tplc="A184D358">
      <w:start w:val="1"/>
      <w:numFmt w:val="decimal"/>
      <w:lvlText w:val="(%1)"/>
      <w:lvlJc w:val="left"/>
      <w:pPr>
        <w:ind w:left="775"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B758E"/>
    <w:multiLevelType w:val="hybridMultilevel"/>
    <w:tmpl w:val="63345A4E"/>
    <w:lvl w:ilvl="0" w:tplc="A184D358">
      <w:start w:val="1"/>
      <w:numFmt w:val="decimal"/>
      <w:lvlText w:val="(%1)"/>
      <w:lvlJc w:val="left"/>
      <w:pPr>
        <w:ind w:left="775" w:hanging="360"/>
      </w:pPr>
      <w:rPr>
        <w:rFonts w:ascii="Arial" w:eastAsia="SimSun" w:hAnsi="Arial" w:cs="Arial"/>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4" w15:restartNumberingAfterBreak="0">
    <w:nsid w:val="4B7879EB"/>
    <w:multiLevelType w:val="hybridMultilevel"/>
    <w:tmpl w:val="136A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E0E58"/>
    <w:multiLevelType w:val="hybridMultilevel"/>
    <w:tmpl w:val="1738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D0E7D"/>
    <w:multiLevelType w:val="hybridMultilevel"/>
    <w:tmpl w:val="E8F23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BD6564"/>
    <w:multiLevelType w:val="multilevel"/>
    <w:tmpl w:val="7410FC46"/>
    <w:styleLink w:val="NumberedList"/>
    <w:lvl w:ilvl="0">
      <w:start w:val="1"/>
      <w:numFmt w:val="decimal"/>
      <w:lvlText w:val="%1.0"/>
      <w:lvlJc w:val="left"/>
      <w:pPr>
        <w:ind w:left="72" w:firstLine="3528"/>
      </w:pPr>
      <w:rPr>
        <w:rFonts w:ascii="Arial Bold" w:hAnsi="Arial Bold" w:hint="default"/>
        <w:sz w:val="20"/>
      </w:rPr>
    </w:lvl>
    <w:lvl w:ilvl="1">
      <w:start w:val="1"/>
      <w:numFmt w:val="decimal"/>
      <w:lvlText w:val="%1.%2"/>
      <w:lvlJc w:val="left"/>
      <w:pPr>
        <w:ind w:left="432" w:firstLine="3528"/>
      </w:pPr>
    </w:lvl>
    <w:lvl w:ilvl="2">
      <w:start w:val="1"/>
      <w:numFmt w:val="lowerLetter"/>
      <w:lvlText w:val="%3)"/>
      <w:lvlJc w:val="left"/>
      <w:pPr>
        <w:ind w:left="792" w:firstLine="3528"/>
      </w:pPr>
      <w:rPr>
        <w:rFonts w:ascii="Arial" w:hAnsi="Arial" w:hint="default"/>
        <w:sz w:val="20"/>
      </w:rPr>
    </w:lvl>
    <w:lvl w:ilvl="3">
      <w:start w:val="1"/>
      <w:numFmt w:val="lowerRoman"/>
      <w:lvlText w:val="(%4)"/>
      <w:lvlJc w:val="left"/>
      <w:pPr>
        <w:ind w:left="1152" w:firstLine="3528"/>
      </w:pPr>
      <w:rPr>
        <w:rFonts w:hint="default"/>
      </w:rPr>
    </w:lvl>
    <w:lvl w:ilvl="4">
      <w:start w:val="1"/>
      <w:numFmt w:val="decimal"/>
      <w:lvlText w:val="%5."/>
      <w:lvlJc w:val="left"/>
      <w:pPr>
        <w:ind w:left="1512" w:firstLine="3528"/>
      </w:pPr>
      <w:rPr>
        <w:rFonts w:ascii="Arial" w:hAnsi="Arial" w:hint="default"/>
        <w:sz w:val="20"/>
      </w:rPr>
    </w:lvl>
    <w:lvl w:ilvl="5">
      <w:start w:val="1"/>
      <w:numFmt w:val="lowerRoman"/>
      <w:lvlText w:val="(%6)"/>
      <w:lvlJc w:val="left"/>
      <w:pPr>
        <w:ind w:left="1872" w:firstLine="3528"/>
      </w:pPr>
      <w:rPr>
        <w:rFonts w:hint="default"/>
      </w:rPr>
    </w:lvl>
    <w:lvl w:ilvl="6">
      <w:start w:val="1"/>
      <w:numFmt w:val="decimal"/>
      <w:lvlText w:val="%7."/>
      <w:lvlJc w:val="left"/>
      <w:pPr>
        <w:ind w:left="2232" w:firstLine="3528"/>
      </w:pPr>
      <w:rPr>
        <w:rFonts w:hint="default"/>
      </w:rPr>
    </w:lvl>
    <w:lvl w:ilvl="7">
      <w:start w:val="1"/>
      <w:numFmt w:val="lowerLetter"/>
      <w:lvlText w:val="%8."/>
      <w:lvlJc w:val="left"/>
      <w:pPr>
        <w:ind w:left="2592" w:firstLine="3528"/>
      </w:pPr>
      <w:rPr>
        <w:rFonts w:hint="default"/>
      </w:rPr>
    </w:lvl>
    <w:lvl w:ilvl="8">
      <w:start w:val="1"/>
      <w:numFmt w:val="lowerRoman"/>
      <w:lvlText w:val="%9."/>
      <w:lvlJc w:val="left"/>
      <w:pPr>
        <w:ind w:left="2952" w:firstLine="3528"/>
      </w:pPr>
      <w:rPr>
        <w:rFonts w:hint="default"/>
      </w:rPr>
    </w:lvl>
  </w:abstractNum>
  <w:abstractNum w:abstractNumId="18" w15:restartNumberingAfterBreak="0">
    <w:nsid w:val="73AD0969"/>
    <w:multiLevelType w:val="hybridMultilevel"/>
    <w:tmpl w:val="E4B21F4A"/>
    <w:lvl w:ilvl="0" w:tplc="C92E6A34">
      <w:start w:val="1"/>
      <w:numFmt w:val="upp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num>
  <w:num w:numId="16">
    <w:abstractNumId w:val="2"/>
  </w:num>
  <w:num w:numId="17">
    <w:abstractNumId w:val="2"/>
  </w:num>
  <w:num w:numId="18">
    <w:abstractNumId w:val="2"/>
  </w:num>
  <w:num w:numId="19">
    <w:abstractNumId w:val="18"/>
  </w:num>
  <w:num w:numId="20">
    <w:abstractNumId w:val="2"/>
  </w:num>
  <w:num w:numId="21">
    <w:abstractNumId w:val="2"/>
  </w:num>
  <w:num w:numId="22">
    <w:abstractNumId w:val="2"/>
  </w:num>
  <w:num w:numId="23">
    <w:abstractNumId w:val="8"/>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2"/>
  </w:num>
  <w:num w:numId="31">
    <w:abstractNumId w:val="6"/>
  </w:num>
  <w:num w:numId="32">
    <w:abstractNumId w:val="10"/>
  </w:num>
  <w:num w:numId="33">
    <w:abstractNumId w:val="13"/>
  </w:num>
  <w:num w:numId="34">
    <w:abstractNumId w:val="11"/>
  </w:num>
  <w:num w:numId="35">
    <w:abstractNumId w:val="12"/>
  </w:num>
  <w:num w:numId="36">
    <w:abstractNumId w:val="6"/>
  </w:num>
  <w:num w:numId="37">
    <w:abstractNumId w:val="9"/>
  </w:num>
  <w:num w:numId="38">
    <w:abstractNumId w:val="14"/>
  </w:num>
  <w:num w:numId="39">
    <w:abstractNumId w:val="16"/>
  </w:num>
  <w:num w:numId="40">
    <w:abstractNumId w:val="3"/>
  </w:num>
  <w:num w:numId="41">
    <w:abstractNumId w:val="0"/>
  </w:num>
  <w:num w:numId="4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8806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3B"/>
    <w:rsid w:val="00000232"/>
    <w:rsid w:val="00002E76"/>
    <w:rsid w:val="000033E0"/>
    <w:rsid w:val="00003EAC"/>
    <w:rsid w:val="00003EF8"/>
    <w:rsid w:val="000075A5"/>
    <w:rsid w:val="00017952"/>
    <w:rsid w:val="00017F85"/>
    <w:rsid w:val="00024BBE"/>
    <w:rsid w:val="00027098"/>
    <w:rsid w:val="000338A1"/>
    <w:rsid w:val="000348BB"/>
    <w:rsid w:val="00037BC8"/>
    <w:rsid w:val="00037CE3"/>
    <w:rsid w:val="0004261F"/>
    <w:rsid w:val="0004299D"/>
    <w:rsid w:val="00044A04"/>
    <w:rsid w:val="00045D54"/>
    <w:rsid w:val="00055633"/>
    <w:rsid w:val="00055F1D"/>
    <w:rsid w:val="00060023"/>
    <w:rsid w:val="00063E01"/>
    <w:rsid w:val="000709C6"/>
    <w:rsid w:val="00072258"/>
    <w:rsid w:val="000734F5"/>
    <w:rsid w:val="00077068"/>
    <w:rsid w:val="00082810"/>
    <w:rsid w:val="000874DB"/>
    <w:rsid w:val="00090620"/>
    <w:rsid w:val="00091058"/>
    <w:rsid w:val="000912FA"/>
    <w:rsid w:val="00092A85"/>
    <w:rsid w:val="00092D5A"/>
    <w:rsid w:val="00093DDE"/>
    <w:rsid w:val="00096BB4"/>
    <w:rsid w:val="000977B3"/>
    <w:rsid w:val="00097F20"/>
    <w:rsid w:val="000A0092"/>
    <w:rsid w:val="000A4548"/>
    <w:rsid w:val="000A60C0"/>
    <w:rsid w:val="000A7AFB"/>
    <w:rsid w:val="000B267D"/>
    <w:rsid w:val="000B6BB1"/>
    <w:rsid w:val="000B79EC"/>
    <w:rsid w:val="000D3248"/>
    <w:rsid w:val="000D4E3B"/>
    <w:rsid w:val="000D72A5"/>
    <w:rsid w:val="000E4FA0"/>
    <w:rsid w:val="000E7717"/>
    <w:rsid w:val="000F5D51"/>
    <w:rsid w:val="00100153"/>
    <w:rsid w:val="00102B42"/>
    <w:rsid w:val="001153CD"/>
    <w:rsid w:val="0012076C"/>
    <w:rsid w:val="00122380"/>
    <w:rsid w:val="001256FA"/>
    <w:rsid w:val="00131738"/>
    <w:rsid w:val="00131B78"/>
    <w:rsid w:val="001330F6"/>
    <w:rsid w:val="00135AEE"/>
    <w:rsid w:val="00136756"/>
    <w:rsid w:val="00137CB4"/>
    <w:rsid w:val="00140A20"/>
    <w:rsid w:val="0014220C"/>
    <w:rsid w:val="0014245F"/>
    <w:rsid w:val="00142E42"/>
    <w:rsid w:val="00143AF4"/>
    <w:rsid w:val="00143E1E"/>
    <w:rsid w:val="00143E81"/>
    <w:rsid w:val="0014489E"/>
    <w:rsid w:val="00144BE3"/>
    <w:rsid w:val="00146E00"/>
    <w:rsid w:val="001477C8"/>
    <w:rsid w:val="00150020"/>
    <w:rsid w:val="00152860"/>
    <w:rsid w:val="00154E5F"/>
    <w:rsid w:val="0015543F"/>
    <w:rsid w:val="00156891"/>
    <w:rsid w:val="00170924"/>
    <w:rsid w:val="001718B0"/>
    <w:rsid w:val="00172AB6"/>
    <w:rsid w:val="0018054E"/>
    <w:rsid w:val="00182A65"/>
    <w:rsid w:val="00186682"/>
    <w:rsid w:val="00186954"/>
    <w:rsid w:val="0018732F"/>
    <w:rsid w:val="00187E15"/>
    <w:rsid w:val="00193867"/>
    <w:rsid w:val="00194660"/>
    <w:rsid w:val="00194838"/>
    <w:rsid w:val="001955C4"/>
    <w:rsid w:val="001A3B62"/>
    <w:rsid w:val="001A478E"/>
    <w:rsid w:val="001A611E"/>
    <w:rsid w:val="001B0022"/>
    <w:rsid w:val="001B0D39"/>
    <w:rsid w:val="001B22B4"/>
    <w:rsid w:val="001B2596"/>
    <w:rsid w:val="001B6B2D"/>
    <w:rsid w:val="001B6E81"/>
    <w:rsid w:val="001B7D12"/>
    <w:rsid w:val="001D1652"/>
    <w:rsid w:val="001D1851"/>
    <w:rsid w:val="001D60B8"/>
    <w:rsid w:val="001E50E4"/>
    <w:rsid w:val="001E5987"/>
    <w:rsid w:val="001F3E2C"/>
    <w:rsid w:val="001F6719"/>
    <w:rsid w:val="00201FB6"/>
    <w:rsid w:val="00202FDE"/>
    <w:rsid w:val="00205E77"/>
    <w:rsid w:val="00206431"/>
    <w:rsid w:val="00206831"/>
    <w:rsid w:val="0020755F"/>
    <w:rsid w:val="00210199"/>
    <w:rsid w:val="002158DE"/>
    <w:rsid w:val="00220B0B"/>
    <w:rsid w:val="00221F47"/>
    <w:rsid w:val="00221F91"/>
    <w:rsid w:val="0022278A"/>
    <w:rsid w:val="00225028"/>
    <w:rsid w:val="00225338"/>
    <w:rsid w:val="002253F5"/>
    <w:rsid w:val="00226589"/>
    <w:rsid w:val="0023129B"/>
    <w:rsid w:val="0023544F"/>
    <w:rsid w:val="002368F8"/>
    <w:rsid w:val="00237145"/>
    <w:rsid w:val="00240BBB"/>
    <w:rsid w:val="00242692"/>
    <w:rsid w:val="002440F5"/>
    <w:rsid w:val="00247DC0"/>
    <w:rsid w:val="0025154F"/>
    <w:rsid w:val="00252258"/>
    <w:rsid w:val="0025397D"/>
    <w:rsid w:val="00261ABF"/>
    <w:rsid w:val="002670FB"/>
    <w:rsid w:val="00267690"/>
    <w:rsid w:val="00271722"/>
    <w:rsid w:val="002756B0"/>
    <w:rsid w:val="00275708"/>
    <w:rsid w:val="00281011"/>
    <w:rsid w:val="00282A6F"/>
    <w:rsid w:val="00282E0D"/>
    <w:rsid w:val="00286EF4"/>
    <w:rsid w:val="002871FA"/>
    <w:rsid w:val="002876A0"/>
    <w:rsid w:val="0029066A"/>
    <w:rsid w:val="002936A6"/>
    <w:rsid w:val="002937AA"/>
    <w:rsid w:val="0029510F"/>
    <w:rsid w:val="002A1958"/>
    <w:rsid w:val="002B0437"/>
    <w:rsid w:val="002B043A"/>
    <w:rsid w:val="002B11AC"/>
    <w:rsid w:val="002B2ECB"/>
    <w:rsid w:val="002C0625"/>
    <w:rsid w:val="002C5ED8"/>
    <w:rsid w:val="002D0085"/>
    <w:rsid w:val="002D046F"/>
    <w:rsid w:val="002D62D8"/>
    <w:rsid w:val="002E0C86"/>
    <w:rsid w:val="002E2D3D"/>
    <w:rsid w:val="002E4707"/>
    <w:rsid w:val="002E5F7D"/>
    <w:rsid w:val="002E62B8"/>
    <w:rsid w:val="002E6D42"/>
    <w:rsid w:val="002E719C"/>
    <w:rsid w:val="002E7C02"/>
    <w:rsid w:val="002F3488"/>
    <w:rsid w:val="00301E02"/>
    <w:rsid w:val="003037F2"/>
    <w:rsid w:val="00303EE5"/>
    <w:rsid w:val="00304254"/>
    <w:rsid w:val="003044EC"/>
    <w:rsid w:val="00307CD2"/>
    <w:rsid w:val="00313463"/>
    <w:rsid w:val="00317B31"/>
    <w:rsid w:val="00317C35"/>
    <w:rsid w:val="00325579"/>
    <w:rsid w:val="00330F22"/>
    <w:rsid w:val="003358CE"/>
    <w:rsid w:val="00335F3B"/>
    <w:rsid w:val="00336328"/>
    <w:rsid w:val="00345805"/>
    <w:rsid w:val="00350E48"/>
    <w:rsid w:val="003526BA"/>
    <w:rsid w:val="00354FFB"/>
    <w:rsid w:val="0035772F"/>
    <w:rsid w:val="00363CCB"/>
    <w:rsid w:val="00365AF1"/>
    <w:rsid w:val="00366508"/>
    <w:rsid w:val="003665BC"/>
    <w:rsid w:val="003674C2"/>
    <w:rsid w:val="0037299E"/>
    <w:rsid w:val="00373621"/>
    <w:rsid w:val="00374C3A"/>
    <w:rsid w:val="003764F3"/>
    <w:rsid w:val="003801C8"/>
    <w:rsid w:val="00380819"/>
    <w:rsid w:val="00386133"/>
    <w:rsid w:val="003874D9"/>
    <w:rsid w:val="0039293D"/>
    <w:rsid w:val="00396293"/>
    <w:rsid w:val="003967DF"/>
    <w:rsid w:val="003A1BFE"/>
    <w:rsid w:val="003A3FAF"/>
    <w:rsid w:val="003A4F2A"/>
    <w:rsid w:val="003B36F0"/>
    <w:rsid w:val="003B720E"/>
    <w:rsid w:val="003C0FD9"/>
    <w:rsid w:val="003C6147"/>
    <w:rsid w:val="003C7B5C"/>
    <w:rsid w:val="003D013B"/>
    <w:rsid w:val="003D1E24"/>
    <w:rsid w:val="003D2389"/>
    <w:rsid w:val="003D2B1A"/>
    <w:rsid w:val="003D30AB"/>
    <w:rsid w:val="003D4CBA"/>
    <w:rsid w:val="003E520B"/>
    <w:rsid w:val="00400993"/>
    <w:rsid w:val="004038EF"/>
    <w:rsid w:val="00404EE8"/>
    <w:rsid w:val="00414D22"/>
    <w:rsid w:val="00420340"/>
    <w:rsid w:val="00423BE1"/>
    <w:rsid w:val="004328A0"/>
    <w:rsid w:val="004334EC"/>
    <w:rsid w:val="00436286"/>
    <w:rsid w:val="00441540"/>
    <w:rsid w:val="00442326"/>
    <w:rsid w:val="00443E01"/>
    <w:rsid w:val="00443F1A"/>
    <w:rsid w:val="004441AA"/>
    <w:rsid w:val="00445B25"/>
    <w:rsid w:val="00446462"/>
    <w:rsid w:val="00446CF4"/>
    <w:rsid w:val="00452BB4"/>
    <w:rsid w:val="00454935"/>
    <w:rsid w:val="004632E7"/>
    <w:rsid w:val="0046620F"/>
    <w:rsid w:val="0047144B"/>
    <w:rsid w:val="004724D4"/>
    <w:rsid w:val="00476520"/>
    <w:rsid w:val="00477584"/>
    <w:rsid w:val="00481690"/>
    <w:rsid w:val="00481BFA"/>
    <w:rsid w:val="0048373D"/>
    <w:rsid w:val="004837E1"/>
    <w:rsid w:val="00483C33"/>
    <w:rsid w:val="00487E89"/>
    <w:rsid w:val="0049131D"/>
    <w:rsid w:val="004930A9"/>
    <w:rsid w:val="004A042B"/>
    <w:rsid w:val="004A172C"/>
    <w:rsid w:val="004A3D50"/>
    <w:rsid w:val="004A4D50"/>
    <w:rsid w:val="004A5BB1"/>
    <w:rsid w:val="004A682E"/>
    <w:rsid w:val="004B2468"/>
    <w:rsid w:val="004C048B"/>
    <w:rsid w:val="004C12B6"/>
    <w:rsid w:val="004C2EA7"/>
    <w:rsid w:val="004C30CD"/>
    <w:rsid w:val="004C50B4"/>
    <w:rsid w:val="004D216F"/>
    <w:rsid w:val="004D2B08"/>
    <w:rsid w:val="004D4052"/>
    <w:rsid w:val="004D58A5"/>
    <w:rsid w:val="004D70D5"/>
    <w:rsid w:val="004E258D"/>
    <w:rsid w:val="004E35FC"/>
    <w:rsid w:val="004E730C"/>
    <w:rsid w:val="004F5334"/>
    <w:rsid w:val="005038DE"/>
    <w:rsid w:val="005069CE"/>
    <w:rsid w:val="00514903"/>
    <w:rsid w:val="00515595"/>
    <w:rsid w:val="00517C6D"/>
    <w:rsid w:val="00524338"/>
    <w:rsid w:val="005310C9"/>
    <w:rsid w:val="00531410"/>
    <w:rsid w:val="00531D49"/>
    <w:rsid w:val="0053301D"/>
    <w:rsid w:val="005352E9"/>
    <w:rsid w:val="00536701"/>
    <w:rsid w:val="005433CE"/>
    <w:rsid w:val="00544022"/>
    <w:rsid w:val="005475C2"/>
    <w:rsid w:val="00552131"/>
    <w:rsid w:val="005527D2"/>
    <w:rsid w:val="00552C35"/>
    <w:rsid w:val="0055309B"/>
    <w:rsid w:val="0055487C"/>
    <w:rsid w:val="005564B9"/>
    <w:rsid w:val="00560AD8"/>
    <w:rsid w:val="00565DAA"/>
    <w:rsid w:val="0056703C"/>
    <w:rsid w:val="00571AB6"/>
    <w:rsid w:val="005721BF"/>
    <w:rsid w:val="00572365"/>
    <w:rsid w:val="005758DB"/>
    <w:rsid w:val="00581075"/>
    <w:rsid w:val="0059095E"/>
    <w:rsid w:val="005938C2"/>
    <w:rsid w:val="005943B1"/>
    <w:rsid w:val="0059718A"/>
    <w:rsid w:val="005A2A59"/>
    <w:rsid w:val="005A3DF8"/>
    <w:rsid w:val="005A7741"/>
    <w:rsid w:val="005B4718"/>
    <w:rsid w:val="005C1044"/>
    <w:rsid w:val="005C15C4"/>
    <w:rsid w:val="005C50CC"/>
    <w:rsid w:val="005C5A5C"/>
    <w:rsid w:val="005C6776"/>
    <w:rsid w:val="005C6999"/>
    <w:rsid w:val="005C76B9"/>
    <w:rsid w:val="005C7838"/>
    <w:rsid w:val="005D0AF6"/>
    <w:rsid w:val="005D2050"/>
    <w:rsid w:val="005D22F3"/>
    <w:rsid w:val="005D3C2D"/>
    <w:rsid w:val="005D5DAF"/>
    <w:rsid w:val="005E09B4"/>
    <w:rsid w:val="005E13C4"/>
    <w:rsid w:val="005E51F7"/>
    <w:rsid w:val="005E76EC"/>
    <w:rsid w:val="005F1DB6"/>
    <w:rsid w:val="005F3D1A"/>
    <w:rsid w:val="005F3E4A"/>
    <w:rsid w:val="005F4FAA"/>
    <w:rsid w:val="005F5278"/>
    <w:rsid w:val="005F6897"/>
    <w:rsid w:val="00605637"/>
    <w:rsid w:val="0060626E"/>
    <w:rsid w:val="006062E9"/>
    <w:rsid w:val="006064FC"/>
    <w:rsid w:val="006069F0"/>
    <w:rsid w:val="0060755F"/>
    <w:rsid w:val="006100C8"/>
    <w:rsid w:val="00620665"/>
    <w:rsid w:val="0062112C"/>
    <w:rsid w:val="00623C32"/>
    <w:rsid w:val="00625C83"/>
    <w:rsid w:val="006271C3"/>
    <w:rsid w:val="00634047"/>
    <w:rsid w:val="0064024B"/>
    <w:rsid w:val="00643590"/>
    <w:rsid w:val="0064359C"/>
    <w:rsid w:val="00650C4F"/>
    <w:rsid w:val="006512A6"/>
    <w:rsid w:val="006530F8"/>
    <w:rsid w:val="006534DC"/>
    <w:rsid w:val="006542A4"/>
    <w:rsid w:val="00656897"/>
    <w:rsid w:val="006574B2"/>
    <w:rsid w:val="006605EC"/>
    <w:rsid w:val="006615B5"/>
    <w:rsid w:val="00661B05"/>
    <w:rsid w:val="006643D5"/>
    <w:rsid w:val="006648E5"/>
    <w:rsid w:val="00664A3D"/>
    <w:rsid w:val="00664D0E"/>
    <w:rsid w:val="006660EA"/>
    <w:rsid w:val="00667B62"/>
    <w:rsid w:val="00673985"/>
    <w:rsid w:val="006770DC"/>
    <w:rsid w:val="00683AFC"/>
    <w:rsid w:val="00685E1F"/>
    <w:rsid w:val="006917BA"/>
    <w:rsid w:val="00694050"/>
    <w:rsid w:val="00695EA5"/>
    <w:rsid w:val="00697015"/>
    <w:rsid w:val="006A0C09"/>
    <w:rsid w:val="006A2A23"/>
    <w:rsid w:val="006A6842"/>
    <w:rsid w:val="006A736C"/>
    <w:rsid w:val="006B097B"/>
    <w:rsid w:val="006B420A"/>
    <w:rsid w:val="006B69E7"/>
    <w:rsid w:val="006B6F1C"/>
    <w:rsid w:val="006B6FE0"/>
    <w:rsid w:val="006B79E5"/>
    <w:rsid w:val="006B7F4C"/>
    <w:rsid w:val="006C053C"/>
    <w:rsid w:val="006C1007"/>
    <w:rsid w:val="006C4160"/>
    <w:rsid w:val="006C677B"/>
    <w:rsid w:val="006C7DF1"/>
    <w:rsid w:val="006D13C0"/>
    <w:rsid w:val="006D2108"/>
    <w:rsid w:val="006D6990"/>
    <w:rsid w:val="006E07F8"/>
    <w:rsid w:val="006E232D"/>
    <w:rsid w:val="006E4F23"/>
    <w:rsid w:val="006E4FA8"/>
    <w:rsid w:val="006E577D"/>
    <w:rsid w:val="006E656C"/>
    <w:rsid w:val="006E6B19"/>
    <w:rsid w:val="006E7982"/>
    <w:rsid w:val="006F1C42"/>
    <w:rsid w:val="00700FCF"/>
    <w:rsid w:val="00701837"/>
    <w:rsid w:val="00701BBF"/>
    <w:rsid w:val="00701EB4"/>
    <w:rsid w:val="00702DDE"/>
    <w:rsid w:val="007126E0"/>
    <w:rsid w:val="00712868"/>
    <w:rsid w:val="00716316"/>
    <w:rsid w:val="007218FF"/>
    <w:rsid w:val="00722F85"/>
    <w:rsid w:val="00727B95"/>
    <w:rsid w:val="0073125A"/>
    <w:rsid w:val="00731BB5"/>
    <w:rsid w:val="0073395E"/>
    <w:rsid w:val="00733BCE"/>
    <w:rsid w:val="00736006"/>
    <w:rsid w:val="00736756"/>
    <w:rsid w:val="00736FC7"/>
    <w:rsid w:val="00745032"/>
    <w:rsid w:val="007479DA"/>
    <w:rsid w:val="0075078B"/>
    <w:rsid w:val="00750DEA"/>
    <w:rsid w:val="007511A4"/>
    <w:rsid w:val="00756295"/>
    <w:rsid w:val="00763FCD"/>
    <w:rsid w:val="00775CE8"/>
    <w:rsid w:val="00776AAB"/>
    <w:rsid w:val="007801E1"/>
    <w:rsid w:val="00783B03"/>
    <w:rsid w:val="00785425"/>
    <w:rsid w:val="007864D9"/>
    <w:rsid w:val="007878BB"/>
    <w:rsid w:val="00794EE9"/>
    <w:rsid w:val="00796813"/>
    <w:rsid w:val="00797EE6"/>
    <w:rsid w:val="007A0F82"/>
    <w:rsid w:val="007A3108"/>
    <w:rsid w:val="007A327D"/>
    <w:rsid w:val="007A659F"/>
    <w:rsid w:val="007A718A"/>
    <w:rsid w:val="007A7773"/>
    <w:rsid w:val="007B109F"/>
    <w:rsid w:val="007B3211"/>
    <w:rsid w:val="007B4B7D"/>
    <w:rsid w:val="007C312C"/>
    <w:rsid w:val="007C794B"/>
    <w:rsid w:val="007D1BF1"/>
    <w:rsid w:val="007D4D19"/>
    <w:rsid w:val="007D6A7C"/>
    <w:rsid w:val="007E006A"/>
    <w:rsid w:val="007E07B5"/>
    <w:rsid w:val="007E0DAA"/>
    <w:rsid w:val="007E360E"/>
    <w:rsid w:val="007E3CF6"/>
    <w:rsid w:val="007F00E5"/>
    <w:rsid w:val="007F5CA5"/>
    <w:rsid w:val="007F6FB8"/>
    <w:rsid w:val="007F72A1"/>
    <w:rsid w:val="00800DE7"/>
    <w:rsid w:val="0080232D"/>
    <w:rsid w:val="00804646"/>
    <w:rsid w:val="00810EDF"/>
    <w:rsid w:val="0081396E"/>
    <w:rsid w:val="0081481C"/>
    <w:rsid w:val="00817274"/>
    <w:rsid w:val="00817651"/>
    <w:rsid w:val="00820D29"/>
    <w:rsid w:val="00821458"/>
    <w:rsid w:val="00823E5F"/>
    <w:rsid w:val="0082567C"/>
    <w:rsid w:val="00827BB1"/>
    <w:rsid w:val="00830DC3"/>
    <w:rsid w:val="00831AF2"/>
    <w:rsid w:val="00835390"/>
    <w:rsid w:val="0084044B"/>
    <w:rsid w:val="00842F55"/>
    <w:rsid w:val="008451E1"/>
    <w:rsid w:val="0084749B"/>
    <w:rsid w:val="00851AB8"/>
    <w:rsid w:val="00853640"/>
    <w:rsid w:val="00855665"/>
    <w:rsid w:val="008619FC"/>
    <w:rsid w:val="00861EB0"/>
    <w:rsid w:val="00865539"/>
    <w:rsid w:val="00870786"/>
    <w:rsid w:val="00876F02"/>
    <w:rsid w:val="00876FC3"/>
    <w:rsid w:val="0087785C"/>
    <w:rsid w:val="00877B6A"/>
    <w:rsid w:val="00883438"/>
    <w:rsid w:val="0088423B"/>
    <w:rsid w:val="00885A07"/>
    <w:rsid w:val="0089027E"/>
    <w:rsid w:val="00891625"/>
    <w:rsid w:val="00893C44"/>
    <w:rsid w:val="00895C34"/>
    <w:rsid w:val="00896117"/>
    <w:rsid w:val="008A4649"/>
    <w:rsid w:val="008A6D3E"/>
    <w:rsid w:val="008A71FB"/>
    <w:rsid w:val="008B3538"/>
    <w:rsid w:val="008B480C"/>
    <w:rsid w:val="008C3E3C"/>
    <w:rsid w:val="008C69B2"/>
    <w:rsid w:val="008D0D88"/>
    <w:rsid w:val="008E064D"/>
    <w:rsid w:val="008E1959"/>
    <w:rsid w:val="008E253D"/>
    <w:rsid w:val="008E4887"/>
    <w:rsid w:val="008E4964"/>
    <w:rsid w:val="008E5D6A"/>
    <w:rsid w:val="008E7C98"/>
    <w:rsid w:val="008F0E67"/>
    <w:rsid w:val="008F21C8"/>
    <w:rsid w:val="008F281E"/>
    <w:rsid w:val="008F2BEA"/>
    <w:rsid w:val="008F475A"/>
    <w:rsid w:val="00900A2B"/>
    <w:rsid w:val="00901EA8"/>
    <w:rsid w:val="00906A73"/>
    <w:rsid w:val="009138C2"/>
    <w:rsid w:val="00914677"/>
    <w:rsid w:val="00916CCE"/>
    <w:rsid w:val="00916F74"/>
    <w:rsid w:val="00917A44"/>
    <w:rsid w:val="00920251"/>
    <w:rsid w:val="00930361"/>
    <w:rsid w:val="00930614"/>
    <w:rsid w:val="009346E5"/>
    <w:rsid w:val="009348B0"/>
    <w:rsid w:val="00937F97"/>
    <w:rsid w:val="009512EF"/>
    <w:rsid w:val="00953AD2"/>
    <w:rsid w:val="00953DCB"/>
    <w:rsid w:val="0095680F"/>
    <w:rsid w:val="009568BE"/>
    <w:rsid w:val="00956A17"/>
    <w:rsid w:val="009578BF"/>
    <w:rsid w:val="00960022"/>
    <w:rsid w:val="00960E37"/>
    <w:rsid w:val="00963859"/>
    <w:rsid w:val="0096563D"/>
    <w:rsid w:val="00965DAD"/>
    <w:rsid w:val="009664B8"/>
    <w:rsid w:val="009665FB"/>
    <w:rsid w:val="00966B73"/>
    <w:rsid w:val="00967296"/>
    <w:rsid w:val="009673E6"/>
    <w:rsid w:val="00970844"/>
    <w:rsid w:val="009711BB"/>
    <w:rsid w:val="009713C9"/>
    <w:rsid w:val="00973F5A"/>
    <w:rsid w:val="00974BCF"/>
    <w:rsid w:val="00975B89"/>
    <w:rsid w:val="00976375"/>
    <w:rsid w:val="00985C83"/>
    <w:rsid w:val="009867DF"/>
    <w:rsid w:val="009904FD"/>
    <w:rsid w:val="00991F48"/>
    <w:rsid w:val="009923E4"/>
    <w:rsid w:val="00994C4E"/>
    <w:rsid w:val="0099578D"/>
    <w:rsid w:val="00996E20"/>
    <w:rsid w:val="009A1F08"/>
    <w:rsid w:val="009A3651"/>
    <w:rsid w:val="009A5942"/>
    <w:rsid w:val="009A60A9"/>
    <w:rsid w:val="009A6DF2"/>
    <w:rsid w:val="009A7B26"/>
    <w:rsid w:val="009B07A5"/>
    <w:rsid w:val="009B0B33"/>
    <w:rsid w:val="009B0BED"/>
    <w:rsid w:val="009B546C"/>
    <w:rsid w:val="009D0C53"/>
    <w:rsid w:val="009D0E36"/>
    <w:rsid w:val="009D161E"/>
    <w:rsid w:val="009D16BF"/>
    <w:rsid w:val="009D2615"/>
    <w:rsid w:val="009D50AC"/>
    <w:rsid w:val="009E243E"/>
    <w:rsid w:val="009E3AFB"/>
    <w:rsid w:val="009E4985"/>
    <w:rsid w:val="009E58D0"/>
    <w:rsid w:val="009E7753"/>
    <w:rsid w:val="009F063F"/>
    <w:rsid w:val="009F1EDB"/>
    <w:rsid w:val="009F38C2"/>
    <w:rsid w:val="009F4FD0"/>
    <w:rsid w:val="009F7066"/>
    <w:rsid w:val="00A03884"/>
    <w:rsid w:val="00A10200"/>
    <w:rsid w:val="00A1021A"/>
    <w:rsid w:val="00A122A4"/>
    <w:rsid w:val="00A14EDA"/>
    <w:rsid w:val="00A230F3"/>
    <w:rsid w:val="00A26403"/>
    <w:rsid w:val="00A27999"/>
    <w:rsid w:val="00A3641C"/>
    <w:rsid w:val="00A37BBC"/>
    <w:rsid w:val="00A42582"/>
    <w:rsid w:val="00A46498"/>
    <w:rsid w:val="00A47540"/>
    <w:rsid w:val="00A52F02"/>
    <w:rsid w:val="00A541B9"/>
    <w:rsid w:val="00A60E5F"/>
    <w:rsid w:val="00A6249C"/>
    <w:rsid w:val="00A668DD"/>
    <w:rsid w:val="00A67142"/>
    <w:rsid w:val="00A677CB"/>
    <w:rsid w:val="00A70CAE"/>
    <w:rsid w:val="00A74CAD"/>
    <w:rsid w:val="00A76B3B"/>
    <w:rsid w:val="00A81591"/>
    <w:rsid w:val="00A82F10"/>
    <w:rsid w:val="00A91C7D"/>
    <w:rsid w:val="00A96E6D"/>
    <w:rsid w:val="00AA0FEA"/>
    <w:rsid w:val="00AA33F6"/>
    <w:rsid w:val="00AA343C"/>
    <w:rsid w:val="00AA59C4"/>
    <w:rsid w:val="00AB2957"/>
    <w:rsid w:val="00AB3D7F"/>
    <w:rsid w:val="00AB4564"/>
    <w:rsid w:val="00AB502D"/>
    <w:rsid w:val="00AB6917"/>
    <w:rsid w:val="00AB6CB2"/>
    <w:rsid w:val="00AC11B4"/>
    <w:rsid w:val="00AC40A4"/>
    <w:rsid w:val="00AD140D"/>
    <w:rsid w:val="00AD1FC6"/>
    <w:rsid w:val="00AD2C51"/>
    <w:rsid w:val="00AD3F76"/>
    <w:rsid w:val="00AD4E93"/>
    <w:rsid w:val="00AD5C08"/>
    <w:rsid w:val="00AE023E"/>
    <w:rsid w:val="00AE111A"/>
    <w:rsid w:val="00AE2C75"/>
    <w:rsid w:val="00AE6036"/>
    <w:rsid w:val="00AF3E2F"/>
    <w:rsid w:val="00AF5916"/>
    <w:rsid w:val="00AF6B24"/>
    <w:rsid w:val="00B04194"/>
    <w:rsid w:val="00B0572F"/>
    <w:rsid w:val="00B0721D"/>
    <w:rsid w:val="00B101E9"/>
    <w:rsid w:val="00B106F8"/>
    <w:rsid w:val="00B11C94"/>
    <w:rsid w:val="00B20D4D"/>
    <w:rsid w:val="00B25E4A"/>
    <w:rsid w:val="00B32B33"/>
    <w:rsid w:val="00B338B1"/>
    <w:rsid w:val="00B35BE1"/>
    <w:rsid w:val="00B37AFC"/>
    <w:rsid w:val="00B416BE"/>
    <w:rsid w:val="00B4170F"/>
    <w:rsid w:val="00B4367D"/>
    <w:rsid w:val="00B45DEF"/>
    <w:rsid w:val="00B4738E"/>
    <w:rsid w:val="00B54FF4"/>
    <w:rsid w:val="00B602C2"/>
    <w:rsid w:val="00B60E99"/>
    <w:rsid w:val="00B62BD4"/>
    <w:rsid w:val="00B6414A"/>
    <w:rsid w:val="00B66559"/>
    <w:rsid w:val="00B66C7C"/>
    <w:rsid w:val="00B73795"/>
    <w:rsid w:val="00B752D0"/>
    <w:rsid w:val="00B90DE5"/>
    <w:rsid w:val="00B96145"/>
    <w:rsid w:val="00B97122"/>
    <w:rsid w:val="00BA4A30"/>
    <w:rsid w:val="00BA50B8"/>
    <w:rsid w:val="00BA5ED7"/>
    <w:rsid w:val="00BB1292"/>
    <w:rsid w:val="00BB3FBC"/>
    <w:rsid w:val="00BC0806"/>
    <w:rsid w:val="00BC690E"/>
    <w:rsid w:val="00BC7B4C"/>
    <w:rsid w:val="00BC7F8F"/>
    <w:rsid w:val="00BD07FA"/>
    <w:rsid w:val="00BE0704"/>
    <w:rsid w:val="00BE1EFF"/>
    <w:rsid w:val="00BE2FEC"/>
    <w:rsid w:val="00BE7971"/>
    <w:rsid w:val="00BF1770"/>
    <w:rsid w:val="00BF22ED"/>
    <w:rsid w:val="00BF4762"/>
    <w:rsid w:val="00C01895"/>
    <w:rsid w:val="00C025D6"/>
    <w:rsid w:val="00C05208"/>
    <w:rsid w:val="00C072E3"/>
    <w:rsid w:val="00C0747A"/>
    <w:rsid w:val="00C218F6"/>
    <w:rsid w:val="00C272FF"/>
    <w:rsid w:val="00C307E9"/>
    <w:rsid w:val="00C3085B"/>
    <w:rsid w:val="00C32380"/>
    <w:rsid w:val="00C32D22"/>
    <w:rsid w:val="00C458DE"/>
    <w:rsid w:val="00C471B2"/>
    <w:rsid w:val="00C47EA6"/>
    <w:rsid w:val="00C52F17"/>
    <w:rsid w:val="00C5331F"/>
    <w:rsid w:val="00C54F28"/>
    <w:rsid w:val="00C558CF"/>
    <w:rsid w:val="00C5650B"/>
    <w:rsid w:val="00C56AAD"/>
    <w:rsid w:val="00C56D23"/>
    <w:rsid w:val="00C60A9C"/>
    <w:rsid w:val="00C60D78"/>
    <w:rsid w:val="00C60F40"/>
    <w:rsid w:val="00C61269"/>
    <w:rsid w:val="00C61D81"/>
    <w:rsid w:val="00C647E7"/>
    <w:rsid w:val="00C647F1"/>
    <w:rsid w:val="00C65629"/>
    <w:rsid w:val="00C678DA"/>
    <w:rsid w:val="00C67CF3"/>
    <w:rsid w:val="00C72655"/>
    <w:rsid w:val="00C72C8C"/>
    <w:rsid w:val="00C72CDA"/>
    <w:rsid w:val="00C81C42"/>
    <w:rsid w:val="00C82CE4"/>
    <w:rsid w:val="00C84BA1"/>
    <w:rsid w:val="00C850CD"/>
    <w:rsid w:val="00C85219"/>
    <w:rsid w:val="00C92BA2"/>
    <w:rsid w:val="00C9316D"/>
    <w:rsid w:val="00C9465D"/>
    <w:rsid w:val="00C95266"/>
    <w:rsid w:val="00CA15AC"/>
    <w:rsid w:val="00CA1BA3"/>
    <w:rsid w:val="00CA242A"/>
    <w:rsid w:val="00CB24CB"/>
    <w:rsid w:val="00CB42CF"/>
    <w:rsid w:val="00CC07FF"/>
    <w:rsid w:val="00CC249F"/>
    <w:rsid w:val="00CC388A"/>
    <w:rsid w:val="00CD2BEA"/>
    <w:rsid w:val="00CD3C43"/>
    <w:rsid w:val="00CD5163"/>
    <w:rsid w:val="00CD57FD"/>
    <w:rsid w:val="00CD70A3"/>
    <w:rsid w:val="00CD7FBD"/>
    <w:rsid w:val="00CE08FD"/>
    <w:rsid w:val="00CE56E1"/>
    <w:rsid w:val="00CE77A6"/>
    <w:rsid w:val="00CF38F4"/>
    <w:rsid w:val="00D00FE1"/>
    <w:rsid w:val="00D01958"/>
    <w:rsid w:val="00D05BD8"/>
    <w:rsid w:val="00D10B93"/>
    <w:rsid w:val="00D12168"/>
    <w:rsid w:val="00D24E8B"/>
    <w:rsid w:val="00D27677"/>
    <w:rsid w:val="00D2794C"/>
    <w:rsid w:val="00D301A3"/>
    <w:rsid w:val="00D312E5"/>
    <w:rsid w:val="00D328AD"/>
    <w:rsid w:val="00D349F6"/>
    <w:rsid w:val="00D3515C"/>
    <w:rsid w:val="00D362BA"/>
    <w:rsid w:val="00D42D8D"/>
    <w:rsid w:val="00D4322B"/>
    <w:rsid w:val="00D43449"/>
    <w:rsid w:val="00D45C87"/>
    <w:rsid w:val="00D4714A"/>
    <w:rsid w:val="00D52E92"/>
    <w:rsid w:val="00D535E7"/>
    <w:rsid w:val="00D55465"/>
    <w:rsid w:val="00D5666B"/>
    <w:rsid w:val="00D62E70"/>
    <w:rsid w:val="00D642DC"/>
    <w:rsid w:val="00D6634D"/>
    <w:rsid w:val="00D66ABD"/>
    <w:rsid w:val="00D71D94"/>
    <w:rsid w:val="00D757CB"/>
    <w:rsid w:val="00D77D1E"/>
    <w:rsid w:val="00D837D2"/>
    <w:rsid w:val="00D84FE4"/>
    <w:rsid w:val="00D86169"/>
    <w:rsid w:val="00D902E0"/>
    <w:rsid w:val="00D9536A"/>
    <w:rsid w:val="00D959B4"/>
    <w:rsid w:val="00DA15DE"/>
    <w:rsid w:val="00DA2D18"/>
    <w:rsid w:val="00DA4903"/>
    <w:rsid w:val="00DA67A2"/>
    <w:rsid w:val="00DB55AE"/>
    <w:rsid w:val="00DB70A8"/>
    <w:rsid w:val="00DB7BAA"/>
    <w:rsid w:val="00DC29EA"/>
    <w:rsid w:val="00DC2AA8"/>
    <w:rsid w:val="00DC2C52"/>
    <w:rsid w:val="00DC5245"/>
    <w:rsid w:val="00DC52A1"/>
    <w:rsid w:val="00DC6CDE"/>
    <w:rsid w:val="00DD011A"/>
    <w:rsid w:val="00DD1A66"/>
    <w:rsid w:val="00DD1D97"/>
    <w:rsid w:val="00DD49EC"/>
    <w:rsid w:val="00DD4BD7"/>
    <w:rsid w:val="00DD5D2C"/>
    <w:rsid w:val="00DD7B88"/>
    <w:rsid w:val="00DE31B9"/>
    <w:rsid w:val="00DE7069"/>
    <w:rsid w:val="00DE796E"/>
    <w:rsid w:val="00DF08C5"/>
    <w:rsid w:val="00DF0B03"/>
    <w:rsid w:val="00DF49D8"/>
    <w:rsid w:val="00E0035E"/>
    <w:rsid w:val="00E0260C"/>
    <w:rsid w:val="00E02F3F"/>
    <w:rsid w:val="00E03476"/>
    <w:rsid w:val="00E0549A"/>
    <w:rsid w:val="00E05B10"/>
    <w:rsid w:val="00E07C29"/>
    <w:rsid w:val="00E10595"/>
    <w:rsid w:val="00E13266"/>
    <w:rsid w:val="00E158EF"/>
    <w:rsid w:val="00E167EE"/>
    <w:rsid w:val="00E17018"/>
    <w:rsid w:val="00E1701B"/>
    <w:rsid w:val="00E1730D"/>
    <w:rsid w:val="00E2189A"/>
    <w:rsid w:val="00E26126"/>
    <w:rsid w:val="00E32410"/>
    <w:rsid w:val="00E34180"/>
    <w:rsid w:val="00E35171"/>
    <w:rsid w:val="00E36BE4"/>
    <w:rsid w:val="00E42349"/>
    <w:rsid w:val="00E44FA5"/>
    <w:rsid w:val="00E468E9"/>
    <w:rsid w:val="00E529E8"/>
    <w:rsid w:val="00E52FFD"/>
    <w:rsid w:val="00E536BE"/>
    <w:rsid w:val="00E53992"/>
    <w:rsid w:val="00E55C78"/>
    <w:rsid w:val="00E60087"/>
    <w:rsid w:val="00E61F14"/>
    <w:rsid w:val="00E63995"/>
    <w:rsid w:val="00E646AA"/>
    <w:rsid w:val="00E67902"/>
    <w:rsid w:val="00E73940"/>
    <w:rsid w:val="00E76485"/>
    <w:rsid w:val="00E77648"/>
    <w:rsid w:val="00E87787"/>
    <w:rsid w:val="00E87B0C"/>
    <w:rsid w:val="00E905E1"/>
    <w:rsid w:val="00E93B13"/>
    <w:rsid w:val="00E94CF1"/>
    <w:rsid w:val="00E94D3D"/>
    <w:rsid w:val="00EA084D"/>
    <w:rsid w:val="00EA7B1C"/>
    <w:rsid w:val="00EB0505"/>
    <w:rsid w:val="00EB2749"/>
    <w:rsid w:val="00EC00CC"/>
    <w:rsid w:val="00EC0D7C"/>
    <w:rsid w:val="00EC3222"/>
    <w:rsid w:val="00EC7387"/>
    <w:rsid w:val="00EC7ACA"/>
    <w:rsid w:val="00ED26B7"/>
    <w:rsid w:val="00ED734F"/>
    <w:rsid w:val="00EE1AAD"/>
    <w:rsid w:val="00EE2996"/>
    <w:rsid w:val="00EE3172"/>
    <w:rsid w:val="00EE3216"/>
    <w:rsid w:val="00EE4DA5"/>
    <w:rsid w:val="00EE4F0A"/>
    <w:rsid w:val="00EE7CE0"/>
    <w:rsid w:val="00EF236C"/>
    <w:rsid w:val="00EF7531"/>
    <w:rsid w:val="00F01573"/>
    <w:rsid w:val="00F02348"/>
    <w:rsid w:val="00F0671A"/>
    <w:rsid w:val="00F109E2"/>
    <w:rsid w:val="00F1178D"/>
    <w:rsid w:val="00F12516"/>
    <w:rsid w:val="00F139E8"/>
    <w:rsid w:val="00F13B14"/>
    <w:rsid w:val="00F14F39"/>
    <w:rsid w:val="00F20815"/>
    <w:rsid w:val="00F229ED"/>
    <w:rsid w:val="00F25BA8"/>
    <w:rsid w:val="00F267F9"/>
    <w:rsid w:val="00F310E1"/>
    <w:rsid w:val="00F31CEC"/>
    <w:rsid w:val="00F32109"/>
    <w:rsid w:val="00F44448"/>
    <w:rsid w:val="00F46D05"/>
    <w:rsid w:val="00F501F1"/>
    <w:rsid w:val="00F52FD2"/>
    <w:rsid w:val="00F55801"/>
    <w:rsid w:val="00F64EAF"/>
    <w:rsid w:val="00F65C4F"/>
    <w:rsid w:val="00F65C53"/>
    <w:rsid w:val="00F66DAA"/>
    <w:rsid w:val="00F678C8"/>
    <w:rsid w:val="00F70CD2"/>
    <w:rsid w:val="00F71393"/>
    <w:rsid w:val="00F72B42"/>
    <w:rsid w:val="00F77A1A"/>
    <w:rsid w:val="00F8202E"/>
    <w:rsid w:val="00F8328C"/>
    <w:rsid w:val="00F846F3"/>
    <w:rsid w:val="00F84F7E"/>
    <w:rsid w:val="00F85C91"/>
    <w:rsid w:val="00F94140"/>
    <w:rsid w:val="00FA279C"/>
    <w:rsid w:val="00FA530A"/>
    <w:rsid w:val="00FB1E3A"/>
    <w:rsid w:val="00FB37A6"/>
    <w:rsid w:val="00FB3ECB"/>
    <w:rsid w:val="00FB41CC"/>
    <w:rsid w:val="00FB76D3"/>
    <w:rsid w:val="00FB77CF"/>
    <w:rsid w:val="00FB7E2F"/>
    <w:rsid w:val="00FC1A7B"/>
    <w:rsid w:val="00FC24CE"/>
    <w:rsid w:val="00FC4164"/>
    <w:rsid w:val="00FC7EE8"/>
    <w:rsid w:val="00FD2CF9"/>
    <w:rsid w:val="00FD7052"/>
    <w:rsid w:val="00FD726F"/>
    <w:rsid w:val="00FE5F4D"/>
    <w:rsid w:val="00FE647E"/>
    <w:rsid w:val="00FE6F37"/>
    <w:rsid w:val="00FF29EF"/>
    <w:rsid w:val="00FF4D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14:docId w14:val="0A828DC7"/>
  <w15:chartTrackingRefBased/>
  <w15:docId w15:val="{8102A416-C3E4-4961-BDD0-8D99FB62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qFormat="1"/>
    <w:lsdException w:name="heading 3" w:uiPriority="8"/>
    <w:lsdException w:name="heading 4" w:uiPriority="9"/>
    <w:lsdException w:name="heading 5" w:uiPriority="9"/>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2"/>
    <w:lsdException w:name="List 3" w:uiPriority="3"/>
    <w:lsdException w:name="List 4" w:uiPriority="4"/>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DB55AE"/>
    <w:pPr>
      <w:spacing w:after="200" w:line="276" w:lineRule="auto"/>
    </w:pPr>
    <w:rPr>
      <w:sz w:val="22"/>
      <w:szCs w:val="22"/>
      <w:lang w:val="en-US" w:eastAsia="en-US"/>
    </w:rPr>
  </w:style>
  <w:style w:type="paragraph" w:styleId="Heading1">
    <w:name w:val="heading 1"/>
    <w:basedOn w:val="ZZZ1"/>
    <w:next w:val="Normal"/>
    <w:link w:val="Heading1Char"/>
    <w:uiPriority w:val="1"/>
    <w:qFormat/>
    <w:rsid w:val="007511A4"/>
  </w:style>
  <w:style w:type="paragraph" w:styleId="Heading2">
    <w:name w:val="heading 2"/>
    <w:basedOn w:val="11-Subsection"/>
    <w:link w:val="Heading2Char"/>
    <w:uiPriority w:val="1"/>
    <w:qFormat/>
    <w:rsid w:val="004C048B"/>
    <w:pPr>
      <w:overflowPunct w:val="0"/>
      <w:autoSpaceDE w:val="0"/>
      <w:autoSpaceDN w:val="0"/>
      <w:adjustRightInd w:val="0"/>
      <w:textAlignment w:val="baseline"/>
    </w:pPr>
    <w:rPr>
      <w:rFonts w:ascii="Arial Bold" w:eastAsia="Times New Roman" w:hAnsi="Arial Bold" w:cs="Times New Roman"/>
      <w:bCs/>
      <w:szCs w:val="20"/>
    </w:rPr>
  </w:style>
  <w:style w:type="paragraph" w:styleId="Heading3">
    <w:name w:val="heading 3"/>
    <w:basedOn w:val="Paragraph"/>
    <w:next w:val="Normal"/>
    <w:link w:val="Heading3Char"/>
    <w:unhideWhenUsed/>
    <w:rsid w:val="00722F85"/>
    <w:pPr>
      <w:jc w:val="both"/>
    </w:pPr>
  </w:style>
  <w:style w:type="paragraph" w:styleId="Heading4">
    <w:name w:val="heading 4"/>
    <w:basedOn w:val="List1stLevel"/>
    <w:next w:val="Normal"/>
    <w:link w:val="Heading4Char"/>
    <w:unhideWhenUsed/>
    <w:rsid w:val="00722F85"/>
    <w:pPr>
      <w:jc w:val="both"/>
    </w:pPr>
  </w:style>
  <w:style w:type="paragraph" w:styleId="Heading5">
    <w:name w:val="heading 5"/>
    <w:basedOn w:val="List2ndLevel"/>
    <w:next w:val="Normal"/>
    <w:link w:val="Heading5Char"/>
    <w:unhideWhenUsed/>
    <w:rsid w:val="00722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B55AE"/>
    <w:rPr>
      <w:rFonts w:ascii="Arial Bold" w:hAnsi="Arial Bold"/>
      <w:b/>
      <w:caps/>
      <w:lang w:val="en-CA" w:eastAsia="en-US"/>
    </w:rPr>
  </w:style>
  <w:style w:type="paragraph" w:styleId="ListParagraph">
    <w:name w:val="List Paragraph"/>
    <w:basedOn w:val="Normal"/>
    <w:uiPriority w:val="34"/>
    <w:semiHidden/>
    <w:rsid w:val="00303EE5"/>
    <w:pPr>
      <w:ind w:left="720"/>
      <w:contextualSpacing/>
    </w:pPr>
  </w:style>
  <w:style w:type="paragraph" w:customStyle="1" w:styleId="10-SectionHeading">
    <w:name w:val="* 1.0 - Section Heading"/>
    <w:basedOn w:val="Normal"/>
    <w:link w:val="10-SectionHeadingChar"/>
    <w:autoRedefine/>
    <w:unhideWhenUsed/>
    <w:rsid w:val="001D1652"/>
    <w:pPr>
      <w:keepNext/>
      <w:spacing w:before="240" w:after="0" w:line="240" w:lineRule="exact"/>
      <w:ind w:left="720" w:hanging="720"/>
      <w:outlineLvl w:val="0"/>
    </w:pPr>
    <w:rPr>
      <w:rFonts w:ascii="Arial Bold" w:hAnsi="Arial Bold"/>
      <w:b/>
      <w:caps/>
      <w:sz w:val="20"/>
      <w:szCs w:val="20"/>
      <w:lang w:val="en-CA"/>
    </w:rPr>
  </w:style>
  <w:style w:type="paragraph" w:customStyle="1" w:styleId="11-Subsection">
    <w:name w:val="* 1.1 -  Subsection"/>
    <w:basedOn w:val="Normal"/>
    <w:link w:val="11-SubsectionChar"/>
    <w:unhideWhenUsed/>
    <w:rsid w:val="00156891"/>
    <w:pPr>
      <w:keepNext/>
      <w:numPr>
        <w:ilvl w:val="1"/>
        <w:numId w:val="2"/>
      </w:numPr>
      <w:spacing w:before="240" w:after="240" w:line="240" w:lineRule="auto"/>
      <w:outlineLvl w:val="1"/>
    </w:pPr>
    <w:rPr>
      <w:rFonts w:ascii="Arial" w:hAnsi="Arial"/>
      <w:b/>
      <w:sz w:val="20"/>
    </w:rPr>
  </w:style>
  <w:style w:type="paragraph" w:customStyle="1" w:styleId="Paragraph">
    <w:name w:val="* Paragraph"/>
    <w:basedOn w:val="Normal"/>
    <w:uiPriority w:val="2"/>
    <w:qFormat/>
    <w:rsid w:val="00135AEE"/>
    <w:pPr>
      <w:numPr>
        <w:ilvl w:val="2"/>
        <w:numId w:val="2"/>
      </w:numPr>
      <w:spacing w:before="120" w:after="120" w:line="240" w:lineRule="exact"/>
      <w:outlineLvl w:val="2"/>
    </w:pPr>
    <w:rPr>
      <w:rFonts w:ascii="Arial" w:hAnsi="Arial"/>
      <w:sz w:val="20"/>
      <w:lang w:val="en-CA"/>
    </w:rPr>
  </w:style>
  <w:style w:type="paragraph" w:customStyle="1" w:styleId="List1stLevel">
    <w:name w:val="* List 1st Level"/>
    <w:basedOn w:val="Normal"/>
    <w:uiPriority w:val="3"/>
    <w:qFormat/>
    <w:rsid w:val="002F3488"/>
    <w:pPr>
      <w:numPr>
        <w:ilvl w:val="3"/>
        <w:numId w:val="2"/>
      </w:numPr>
      <w:spacing w:before="120" w:after="120" w:line="240" w:lineRule="exact"/>
      <w:outlineLvl w:val="3"/>
    </w:pPr>
    <w:rPr>
      <w:rFonts w:ascii="Arial" w:hAnsi="Arial"/>
      <w:sz w:val="20"/>
    </w:rPr>
  </w:style>
  <w:style w:type="paragraph" w:customStyle="1" w:styleId="List2ndLevel">
    <w:name w:val="* List 2nd Level"/>
    <w:basedOn w:val="Paragraph"/>
    <w:uiPriority w:val="4"/>
    <w:qFormat/>
    <w:rsid w:val="00D05BD8"/>
    <w:pPr>
      <w:numPr>
        <w:ilvl w:val="4"/>
      </w:numPr>
      <w:outlineLvl w:val="4"/>
    </w:pPr>
  </w:style>
  <w:style w:type="numbering" w:customStyle="1" w:styleId="NumberedList">
    <w:name w:val="Numbered List"/>
    <w:uiPriority w:val="99"/>
    <w:rsid w:val="00C54F28"/>
    <w:pPr>
      <w:numPr>
        <w:numId w:val="1"/>
      </w:numPr>
    </w:pPr>
  </w:style>
  <w:style w:type="paragraph" w:styleId="Header">
    <w:name w:val="header"/>
    <w:basedOn w:val="Normal"/>
    <w:link w:val="HeaderChar"/>
    <w:unhideWhenUsed/>
    <w:rsid w:val="00C72C8C"/>
    <w:pPr>
      <w:tabs>
        <w:tab w:val="center" w:pos="4680"/>
        <w:tab w:val="right" w:pos="9360"/>
      </w:tabs>
      <w:spacing w:after="0" w:line="240" w:lineRule="auto"/>
    </w:pPr>
  </w:style>
  <w:style w:type="character" w:customStyle="1" w:styleId="HeaderChar">
    <w:name w:val="Header Char"/>
    <w:basedOn w:val="DefaultParagraphFont"/>
    <w:link w:val="Header"/>
    <w:rsid w:val="00656897"/>
    <w:rPr>
      <w:sz w:val="22"/>
      <w:szCs w:val="22"/>
      <w:lang w:val="en-US" w:eastAsia="en-US"/>
    </w:rPr>
  </w:style>
  <w:style w:type="paragraph" w:styleId="Footer">
    <w:name w:val="footer"/>
    <w:basedOn w:val="Normal"/>
    <w:link w:val="FooterChar"/>
    <w:unhideWhenUsed/>
    <w:rsid w:val="00C72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C8C"/>
  </w:style>
  <w:style w:type="paragraph" w:styleId="TOCHeading">
    <w:name w:val="TOC Heading"/>
    <w:basedOn w:val="Heading1"/>
    <w:next w:val="Normal"/>
    <w:uiPriority w:val="39"/>
    <w:semiHidden/>
    <w:unhideWhenUsed/>
    <w:qFormat/>
    <w:rsid w:val="00D757CB"/>
    <w:pPr>
      <w:outlineLvl w:val="9"/>
    </w:pPr>
  </w:style>
  <w:style w:type="numbering" w:customStyle="1" w:styleId="CustomList">
    <w:name w:val="Custom List"/>
    <w:uiPriority w:val="99"/>
    <w:rsid w:val="00B4170F"/>
    <w:pPr>
      <w:numPr>
        <w:numId w:val="3"/>
      </w:numPr>
    </w:pPr>
  </w:style>
  <w:style w:type="paragraph" w:styleId="TOC1">
    <w:name w:val="toc 1"/>
    <w:basedOn w:val="Normal"/>
    <w:next w:val="Normal"/>
    <w:autoRedefine/>
    <w:uiPriority w:val="39"/>
    <w:unhideWhenUsed/>
    <w:rsid w:val="00F12516"/>
    <w:pPr>
      <w:tabs>
        <w:tab w:val="left" w:pos="660"/>
        <w:tab w:val="right" w:leader="dot" w:pos="9350"/>
      </w:tabs>
      <w:spacing w:before="120" w:after="120" w:line="240" w:lineRule="exact"/>
      <w:ind w:left="720" w:hanging="720"/>
    </w:pPr>
    <w:rPr>
      <w:rFonts w:ascii="Arial" w:hAnsi="Arial" w:cs="Times New Roman"/>
      <w:b/>
      <w:caps/>
      <w:noProof/>
      <w:sz w:val="20"/>
    </w:rPr>
  </w:style>
  <w:style w:type="paragraph" w:styleId="TOC2">
    <w:name w:val="toc 2"/>
    <w:basedOn w:val="Normal"/>
    <w:next w:val="Normal"/>
    <w:autoRedefine/>
    <w:uiPriority w:val="39"/>
    <w:unhideWhenUsed/>
    <w:rsid w:val="004328A0"/>
    <w:pPr>
      <w:tabs>
        <w:tab w:val="left" w:pos="660"/>
        <w:tab w:val="right" w:leader="dot" w:pos="9350"/>
      </w:tabs>
      <w:spacing w:before="60" w:after="60" w:line="240" w:lineRule="exact"/>
      <w:ind w:left="720" w:hanging="720"/>
    </w:pPr>
    <w:rPr>
      <w:rFonts w:ascii="Arial" w:hAnsi="Arial"/>
      <w:sz w:val="20"/>
    </w:rPr>
  </w:style>
  <w:style w:type="paragraph" w:styleId="BalloonText">
    <w:name w:val="Balloon Text"/>
    <w:basedOn w:val="Normal"/>
    <w:link w:val="BalloonTextChar"/>
    <w:uiPriority w:val="99"/>
    <w:semiHidden/>
    <w:unhideWhenUsed/>
    <w:rsid w:val="00D757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7CB"/>
    <w:rPr>
      <w:rFonts w:ascii="Tahoma" w:hAnsi="Tahoma" w:cs="Tahoma"/>
      <w:sz w:val="16"/>
      <w:szCs w:val="16"/>
    </w:rPr>
  </w:style>
  <w:style w:type="character" w:styleId="Hyperlink">
    <w:name w:val="Hyperlink"/>
    <w:uiPriority w:val="99"/>
    <w:unhideWhenUsed/>
    <w:rsid w:val="001B6B2D"/>
    <w:rPr>
      <w:color w:val="0000FF"/>
      <w:u w:val="single"/>
    </w:rPr>
  </w:style>
  <w:style w:type="paragraph" w:customStyle="1" w:styleId="Style2">
    <w:name w:val="Style2"/>
    <w:basedOn w:val="Normal"/>
    <w:autoRedefine/>
    <w:rsid w:val="00FA530A"/>
    <w:pPr>
      <w:keepNext/>
      <w:keepLines/>
      <w:widowControl w:val="0"/>
      <w:tabs>
        <w:tab w:val="num" w:pos="720"/>
      </w:tabs>
      <w:overflowPunct w:val="0"/>
      <w:autoSpaceDE w:val="0"/>
      <w:autoSpaceDN w:val="0"/>
      <w:adjustRightInd w:val="0"/>
      <w:spacing w:before="240" w:after="240" w:line="240" w:lineRule="auto"/>
      <w:ind w:left="720" w:hanging="720"/>
      <w:jc w:val="both"/>
      <w:textAlignment w:val="baseline"/>
      <w:outlineLvl w:val="1"/>
    </w:pPr>
    <w:rPr>
      <w:rFonts w:ascii="Arial Bold" w:eastAsia="Times New Roman" w:hAnsi="Arial Bold" w:cs="Times New Roman"/>
      <w:b/>
      <w:sz w:val="20"/>
      <w:szCs w:val="24"/>
      <w:lang w:val="fr-CA"/>
    </w:rPr>
  </w:style>
  <w:style w:type="paragraph" w:customStyle="1" w:styleId="Style3">
    <w:name w:val="Style3"/>
    <w:basedOn w:val="Normal"/>
    <w:rsid w:val="00FA530A"/>
    <w:pPr>
      <w:tabs>
        <w:tab w:val="num" w:pos="720"/>
      </w:tabs>
      <w:spacing w:before="120" w:after="120" w:line="240" w:lineRule="exact"/>
      <w:ind w:left="720" w:hanging="720"/>
    </w:pPr>
    <w:rPr>
      <w:rFonts w:ascii="Arial" w:eastAsia="Times New Roman" w:hAnsi="Arial" w:cs="Times New Roman"/>
      <w:sz w:val="20"/>
      <w:szCs w:val="24"/>
      <w:lang w:val="en-CA"/>
    </w:rPr>
  </w:style>
  <w:style w:type="paragraph" w:customStyle="1" w:styleId="MainTitle">
    <w:name w:val="Main Title"/>
    <w:basedOn w:val="Normal"/>
    <w:autoRedefine/>
    <w:rsid w:val="00FA530A"/>
    <w:pPr>
      <w:spacing w:before="120" w:after="120" w:line="240" w:lineRule="exact"/>
      <w:ind w:left="720"/>
      <w:jc w:val="center"/>
    </w:pPr>
    <w:rPr>
      <w:rFonts w:ascii="Arial" w:eastAsia="Times New Roman" w:hAnsi="Arial" w:cs="Times New Roman"/>
      <w:bCs/>
      <w:sz w:val="36"/>
      <w:szCs w:val="24"/>
      <w:lang w:val="en-CA"/>
    </w:rPr>
  </w:style>
  <w:style w:type="paragraph" w:customStyle="1" w:styleId="SubjectTitle">
    <w:name w:val="Subject Title"/>
    <w:basedOn w:val="Normal"/>
    <w:autoRedefine/>
    <w:rsid w:val="00A46498"/>
    <w:pPr>
      <w:spacing w:before="60" w:after="240" w:line="240" w:lineRule="auto"/>
    </w:pPr>
    <w:rPr>
      <w:rFonts w:ascii="Arial Bold" w:eastAsia="Times New Roman" w:hAnsi="Arial Bold" w:cs="Times New Roman"/>
      <w:sz w:val="24"/>
      <w:szCs w:val="24"/>
      <w:lang w:val="en-CA"/>
    </w:rPr>
  </w:style>
  <w:style w:type="character" w:styleId="PageNumber">
    <w:name w:val="page number"/>
    <w:basedOn w:val="DefaultParagraphFont"/>
    <w:semiHidden/>
    <w:rsid w:val="00E87787"/>
  </w:style>
  <w:style w:type="paragraph" w:customStyle="1" w:styleId="Normal1">
    <w:name w:val="Normal1"/>
    <w:basedOn w:val="Normal"/>
    <w:link w:val="Normal1Char"/>
    <w:autoRedefine/>
    <w:qFormat/>
    <w:rsid w:val="005A7741"/>
    <w:pPr>
      <w:spacing w:before="120" w:after="120" w:line="240" w:lineRule="exact"/>
    </w:pPr>
    <w:rPr>
      <w:rFonts w:ascii="Arial" w:hAnsi="Arial"/>
      <w:b/>
      <w:sz w:val="20"/>
      <w:lang w:val="fr-CA"/>
    </w:rPr>
  </w:style>
  <w:style w:type="paragraph" w:customStyle="1" w:styleId="Style1">
    <w:name w:val="Style1"/>
    <w:basedOn w:val="Normal"/>
    <w:rsid w:val="00D43449"/>
    <w:pPr>
      <w:overflowPunct w:val="0"/>
      <w:autoSpaceDE w:val="0"/>
      <w:autoSpaceDN w:val="0"/>
      <w:adjustRightInd w:val="0"/>
      <w:spacing w:before="180" w:after="180" w:line="240" w:lineRule="exact"/>
      <w:ind w:left="720" w:hanging="648"/>
      <w:jc w:val="both"/>
      <w:textAlignment w:val="baseline"/>
    </w:pPr>
    <w:rPr>
      <w:rFonts w:ascii="Arial" w:eastAsia="Times New Roman" w:hAnsi="Arial"/>
      <w:b/>
      <w:caps/>
      <w:sz w:val="20"/>
      <w:szCs w:val="20"/>
      <w:lang w:val="en-CA"/>
    </w:rPr>
  </w:style>
  <w:style w:type="paragraph" w:customStyle="1" w:styleId="Blue">
    <w:name w:val="Blue"/>
    <w:uiPriority w:val="89"/>
    <w:qFormat/>
    <w:rsid w:val="00B25E4A"/>
    <w:pPr>
      <w:spacing w:before="120" w:after="120" w:line="240" w:lineRule="exact"/>
      <w:ind w:left="720"/>
    </w:pPr>
    <w:rPr>
      <w:rFonts w:ascii="Arial" w:eastAsia="Times New Roman" w:hAnsi="Arial" w:cs="Times New Roman"/>
      <w:bCs/>
      <w:color w:val="0000FF"/>
      <w:lang w:val="en-CA" w:eastAsia="en-US"/>
    </w:rPr>
  </w:style>
  <w:style w:type="paragraph" w:customStyle="1" w:styleId="Level6">
    <w:name w:val="Level 6"/>
    <w:basedOn w:val="List2ndLevel"/>
    <w:rsid w:val="004724D4"/>
    <w:pPr>
      <w:numPr>
        <w:ilvl w:val="5"/>
      </w:numPr>
      <w:outlineLvl w:val="5"/>
    </w:pPr>
  </w:style>
  <w:style w:type="paragraph" w:customStyle="1" w:styleId="Level7">
    <w:name w:val="Level 7"/>
    <w:basedOn w:val="Level6"/>
    <w:rsid w:val="004724D4"/>
    <w:pPr>
      <w:numPr>
        <w:ilvl w:val="6"/>
      </w:numPr>
      <w:outlineLvl w:val="6"/>
    </w:pPr>
  </w:style>
  <w:style w:type="paragraph" w:styleId="BodyTextIndent3">
    <w:name w:val="Body Text Indent 3"/>
    <w:basedOn w:val="Normal"/>
    <w:link w:val="BodyTextIndent3Char"/>
    <w:semiHidden/>
    <w:rsid w:val="003A3FAF"/>
    <w:pPr>
      <w:overflowPunct w:val="0"/>
      <w:autoSpaceDE w:val="0"/>
      <w:autoSpaceDN w:val="0"/>
      <w:adjustRightInd w:val="0"/>
      <w:spacing w:before="120" w:after="120" w:line="240" w:lineRule="exact"/>
      <w:ind w:left="1440"/>
      <w:jc w:val="both"/>
      <w:textAlignment w:val="baseline"/>
    </w:pPr>
    <w:rPr>
      <w:rFonts w:ascii="Arial" w:eastAsia="Times New Roman" w:hAnsi="Arial" w:cs="Times New Roman"/>
      <w:sz w:val="20"/>
      <w:szCs w:val="20"/>
      <w:lang w:val="en-CA"/>
    </w:rPr>
  </w:style>
  <w:style w:type="character" w:customStyle="1" w:styleId="BodyTextIndent3Char">
    <w:name w:val="Body Text Indent 3 Char"/>
    <w:link w:val="BodyTextIndent3"/>
    <w:semiHidden/>
    <w:rsid w:val="003A3FAF"/>
    <w:rPr>
      <w:rFonts w:ascii="Arial" w:eastAsia="Times New Roman" w:hAnsi="Arial" w:cs="Times New Roman"/>
      <w:sz w:val="20"/>
      <w:szCs w:val="20"/>
      <w:lang w:val="en-CA"/>
    </w:rPr>
  </w:style>
  <w:style w:type="paragraph" w:styleId="TOC8">
    <w:name w:val="toc 8"/>
    <w:basedOn w:val="Normal"/>
    <w:next w:val="Normal"/>
    <w:autoRedefine/>
    <w:semiHidden/>
    <w:rsid w:val="003A3FAF"/>
    <w:pPr>
      <w:spacing w:after="0" w:line="240" w:lineRule="exact"/>
      <w:ind w:left="1680"/>
      <w:jc w:val="both"/>
    </w:pPr>
    <w:rPr>
      <w:rFonts w:ascii="Arial" w:eastAsia="Times New Roman" w:hAnsi="Arial" w:cs="Times New Roman"/>
      <w:sz w:val="20"/>
      <w:szCs w:val="24"/>
      <w:lang w:val="en-CA"/>
    </w:rPr>
  </w:style>
  <w:style w:type="paragraph" w:customStyle="1" w:styleId="Definition1">
    <w:name w:val="Definition(1)"/>
    <w:basedOn w:val="Normal"/>
    <w:next w:val="Normal"/>
    <w:rsid w:val="003A3FAF"/>
    <w:pPr>
      <w:overflowPunct w:val="0"/>
      <w:autoSpaceDE w:val="0"/>
      <w:autoSpaceDN w:val="0"/>
      <w:adjustRightInd w:val="0"/>
      <w:spacing w:after="120" w:line="240" w:lineRule="exact"/>
      <w:ind w:left="567" w:hanging="567"/>
      <w:jc w:val="both"/>
      <w:textAlignment w:val="baseline"/>
    </w:pPr>
    <w:rPr>
      <w:rFonts w:ascii="Times New Roman" w:eastAsia="Times New Roman" w:hAnsi="Times New Roman" w:cs="Times New Roman"/>
      <w:noProof/>
      <w:kern w:val="32"/>
      <w:sz w:val="20"/>
      <w:szCs w:val="20"/>
    </w:rPr>
  </w:style>
  <w:style w:type="paragraph" w:customStyle="1" w:styleId="NoteStyleforParagraph">
    <w:name w:val="Note Style for Paragraph"/>
    <w:basedOn w:val="Normal"/>
    <w:rsid w:val="00DC5245"/>
    <w:pPr>
      <w:overflowPunct w:val="0"/>
      <w:autoSpaceDE w:val="0"/>
      <w:autoSpaceDN w:val="0"/>
      <w:adjustRightInd w:val="0"/>
      <w:spacing w:before="120" w:after="120" w:line="240" w:lineRule="exact"/>
      <w:ind w:left="576" w:right="547" w:hanging="576"/>
      <w:textAlignment w:val="baseline"/>
    </w:pPr>
    <w:rPr>
      <w:rFonts w:ascii="Arial" w:eastAsia="Times New Roman" w:hAnsi="Arial" w:cs="Times New Roman"/>
      <w:bCs/>
      <w:i/>
      <w:sz w:val="20"/>
      <w:szCs w:val="20"/>
      <w:lang w:val="en-CA"/>
    </w:rPr>
  </w:style>
  <w:style w:type="paragraph" w:styleId="BodyText">
    <w:name w:val="Body Text"/>
    <w:basedOn w:val="Normal"/>
    <w:link w:val="BodyTextChar"/>
    <w:uiPriority w:val="99"/>
    <w:semiHidden/>
    <w:unhideWhenUsed/>
    <w:rsid w:val="00D959B4"/>
    <w:pPr>
      <w:spacing w:after="120"/>
    </w:pPr>
  </w:style>
  <w:style w:type="character" w:customStyle="1" w:styleId="BodyTextChar">
    <w:name w:val="Body Text Char"/>
    <w:basedOn w:val="DefaultParagraphFont"/>
    <w:link w:val="BodyText"/>
    <w:uiPriority w:val="99"/>
    <w:semiHidden/>
    <w:rsid w:val="00D959B4"/>
  </w:style>
  <w:style w:type="paragraph" w:customStyle="1" w:styleId="NotestyleforFirstLevel">
    <w:name w:val="Note style for First Level"/>
    <w:basedOn w:val="Normal"/>
    <w:rsid w:val="00DC5245"/>
    <w:pPr>
      <w:overflowPunct w:val="0"/>
      <w:autoSpaceDE w:val="0"/>
      <w:autoSpaceDN w:val="0"/>
      <w:adjustRightInd w:val="0"/>
      <w:spacing w:before="120" w:after="120" w:line="240" w:lineRule="exact"/>
      <w:ind w:left="1296" w:right="547" w:hanging="576"/>
      <w:textAlignment w:val="baseline"/>
    </w:pPr>
    <w:rPr>
      <w:rFonts w:ascii="Arial" w:eastAsia="Times New Roman" w:hAnsi="Arial" w:cs="Times New Roman"/>
      <w:bCs/>
      <w:i/>
      <w:sz w:val="20"/>
      <w:szCs w:val="20"/>
      <w:lang w:val="en-CA"/>
    </w:rPr>
  </w:style>
  <w:style w:type="paragraph" w:styleId="Caption">
    <w:name w:val="caption"/>
    <w:basedOn w:val="Normal"/>
    <w:next w:val="Normal"/>
    <w:rsid w:val="009923E4"/>
    <w:pPr>
      <w:spacing w:after="0" w:line="240" w:lineRule="exact"/>
      <w:ind w:left="720"/>
      <w:jc w:val="both"/>
    </w:pPr>
    <w:rPr>
      <w:rFonts w:ascii="Arial" w:eastAsia="Times New Roman" w:hAnsi="Arial" w:cs="Times New Roman"/>
      <w:b/>
      <w:bCs/>
      <w:sz w:val="20"/>
      <w:szCs w:val="20"/>
      <w:lang w:val="en-CA"/>
    </w:rPr>
  </w:style>
  <w:style w:type="paragraph" w:customStyle="1" w:styleId="Appendix">
    <w:name w:val="Appendix"/>
    <w:basedOn w:val="Style1"/>
    <w:uiPriority w:val="5"/>
    <w:qFormat/>
    <w:rsid w:val="00A6249C"/>
    <w:pPr>
      <w:ind w:left="0" w:firstLine="0"/>
      <w:jc w:val="center"/>
      <w:outlineLvl w:val="0"/>
    </w:pPr>
    <w:rPr>
      <w:rFonts w:ascii="Arial Bold" w:hAnsi="Arial Bold"/>
    </w:rPr>
  </w:style>
  <w:style w:type="paragraph" w:styleId="TableofFigures">
    <w:name w:val="table of figures"/>
    <w:basedOn w:val="Normal"/>
    <w:next w:val="Normal"/>
    <w:uiPriority w:val="99"/>
    <w:unhideWhenUsed/>
    <w:rsid w:val="00B106F8"/>
    <w:pPr>
      <w:spacing w:after="0"/>
    </w:pPr>
    <w:rPr>
      <w:rFonts w:ascii="Arial" w:hAnsi="Arial"/>
      <w:sz w:val="20"/>
    </w:rPr>
  </w:style>
  <w:style w:type="character" w:styleId="PlaceholderText">
    <w:name w:val="Placeholder Text"/>
    <w:uiPriority w:val="99"/>
    <w:semiHidden/>
    <w:rsid w:val="00DC5245"/>
    <w:rPr>
      <w:color w:val="808080"/>
    </w:rPr>
  </w:style>
  <w:style w:type="paragraph" w:styleId="NoSpacing">
    <w:name w:val="No Spacing"/>
    <w:link w:val="NoSpacingChar"/>
    <w:uiPriority w:val="1"/>
    <w:rsid w:val="009F063F"/>
    <w:rPr>
      <w:sz w:val="22"/>
      <w:szCs w:val="22"/>
      <w:lang w:val="en-US" w:eastAsia="en-US"/>
    </w:rPr>
  </w:style>
  <w:style w:type="character" w:customStyle="1" w:styleId="NoSpacingChar">
    <w:name w:val="No Spacing Char"/>
    <w:basedOn w:val="DefaultParagraphFont"/>
    <w:link w:val="NoSpacing"/>
    <w:uiPriority w:val="1"/>
    <w:rsid w:val="009F063F"/>
  </w:style>
  <w:style w:type="paragraph" w:customStyle="1" w:styleId="ToCompany">
    <w:name w:val="ToCompany"/>
    <w:basedOn w:val="Normal"/>
    <w:rsid w:val="008E064D"/>
    <w:pPr>
      <w:overflowPunct w:val="0"/>
      <w:autoSpaceDE w:val="0"/>
      <w:autoSpaceDN w:val="0"/>
      <w:adjustRightInd w:val="0"/>
      <w:spacing w:after="0" w:line="240" w:lineRule="auto"/>
      <w:textAlignment w:val="baseline"/>
    </w:pPr>
    <w:rPr>
      <w:rFonts w:ascii="Arial" w:eastAsia="Times New Roman" w:hAnsi="Arial" w:cs="Times New Roman"/>
      <w:sz w:val="28"/>
      <w:szCs w:val="20"/>
    </w:rPr>
  </w:style>
  <w:style w:type="paragraph" w:customStyle="1" w:styleId="FromCompany">
    <w:name w:val="FromCompany"/>
    <w:basedOn w:val="Normal"/>
    <w:rsid w:val="008E064D"/>
    <w:pPr>
      <w:overflowPunct w:val="0"/>
      <w:autoSpaceDE w:val="0"/>
      <w:autoSpaceDN w:val="0"/>
      <w:adjustRightInd w:val="0"/>
      <w:spacing w:after="0" w:line="240" w:lineRule="auto"/>
      <w:textAlignment w:val="baseline"/>
    </w:pPr>
    <w:rPr>
      <w:rFonts w:ascii="Arial" w:eastAsia="Times New Roman" w:hAnsi="Arial" w:cs="Times New Roman"/>
      <w:sz w:val="28"/>
      <w:szCs w:val="20"/>
    </w:rPr>
  </w:style>
  <w:style w:type="paragraph" w:customStyle="1" w:styleId="Comments">
    <w:name w:val="Comments"/>
    <w:basedOn w:val="Normal"/>
    <w:next w:val="Normal"/>
    <w:rsid w:val="00A677CB"/>
    <w:pPr>
      <w:overflowPunct w:val="0"/>
      <w:autoSpaceDE w:val="0"/>
      <w:autoSpaceDN w:val="0"/>
      <w:adjustRightInd w:val="0"/>
      <w:spacing w:before="240" w:after="120" w:line="240" w:lineRule="auto"/>
      <w:textAlignment w:val="baseline"/>
    </w:pPr>
    <w:rPr>
      <w:rFonts w:ascii="Arial" w:eastAsia="Times New Roman" w:hAnsi="Arial" w:cs="Times New Roman"/>
      <w:b/>
      <w:sz w:val="28"/>
      <w:szCs w:val="20"/>
    </w:rPr>
  </w:style>
  <w:style w:type="character" w:customStyle="1" w:styleId="Heading2Char">
    <w:name w:val="Heading 2 Char"/>
    <w:link w:val="Heading2"/>
    <w:uiPriority w:val="1"/>
    <w:rsid w:val="00DB55AE"/>
    <w:rPr>
      <w:rFonts w:ascii="Arial Bold" w:eastAsia="Times New Roman" w:hAnsi="Arial Bold" w:cs="Times New Roman"/>
      <w:b/>
      <w:bCs/>
      <w:lang w:val="en-US" w:eastAsia="en-US"/>
    </w:rPr>
  </w:style>
  <w:style w:type="paragraph" w:styleId="BodyTextIndent">
    <w:name w:val="Body Text Indent"/>
    <w:basedOn w:val="Normal"/>
    <w:link w:val="BodyTextIndentChar"/>
    <w:uiPriority w:val="99"/>
    <w:semiHidden/>
    <w:unhideWhenUsed/>
    <w:rsid w:val="00A677CB"/>
    <w:pPr>
      <w:spacing w:after="120"/>
      <w:ind w:left="283"/>
    </w:pPr>
  </w:style>
  <w:style w:type="character" w:customStyle="1" w:styleId="BodyTextIndentChar">
    <w:name w:val="Body Text Indent Char"/>
    <w:basedOn w:val="DefaultParagraphFont"/>
    <w:link w:val="BodyTextIndent"/>
    <w:uiPriority w:val="99"/>
    <w:semiHidden/>
    <w:rsid w:val="00A677CB"/>
  </w:style>
  <w:style w:type="paragraph" w:styleId="BodyTextIndent2">
    <w:name w:val="Body Text Indent 2"/>
    <w:basedOn w:val="Normal"/>
    <w:link w:val="BodyTextIndent2Char"/>
    <w:uiPriority w:val="99"/>
    <w:semiHidden/>
    <w:unhideWhenUsed/>
    <w:rsid w:val="00A677CB"/>
    <w:pPr>
      <w:spacing w:after="120" w:line="480" w:lineRule="auto"/>
      <w:ind w:left="283"/>
    </w:pPr>
  </w:style>
  <w:style w:type="character" w:customStyle="1" w:styleId="BodyTextIndent2Char">
    <w:name w:val="Body Text Indent 2 Char"/>
    <w:basedOn w:val="DefaultParagraphFont"/>
    <w:link w:val="BodyTextIndent2"/>
    <w:uiPriority w:val="99"/>
    <w:semiHidden/>
    <w:rsid w:val="00A677CB"/>
  </w:style>
  <w:style w:type="paragraph" w:styleId="NormalWeb">
    <w:name w:val="Normal (Web)"/>
    <w:basedOn w:val="Normal"/>
    <w:semiHidden/>
    <w:rsid w:val="00A677CB"/>
    <w:pPr>
      <w:spacing w:before="100" w:beforeAutospacing="1" w:after="100" w:afterAutospacing="1" w:line="240" w:lineRule="auto"/>
    </w:pPr>
    <w:rPr>
      <w:rFonts w:ascii="Verdana" w:eastAsia="Arial Unicode MS" w:hAnsi="Verdana" w:cs="Arial Unicode MS"/>
      <w:sz w:val="24"/>
      <w:szCs w:val="24"/>
    </w:rPr>
  </w:style>
  <w:style w:type="paragraph" w:customStyle="1" w:styleId="indent2">
    <w:name w:val="indent2"/>
    <w:basedOn w:val="Normal"/>
    <w:rsid w:val="00A677CB"/>
    <w:pPr>
      <w:spacing w:before="100" w:beforeAutospacing="1" w:after="100" w:afterAutospacing="1" w:line="240" w:lineRule="auto"/>
    </w:pPr>
    <w:rPr>
      <w:rFonts w:ascii="Verdana" w:eastAsia="Arial Unicode MS" w:hAnsi="Verdana" w:cs="Arial Unicode MS"/>
      <w:sz w:val="24"/>
      <w:szCs w:val="24"/>
    </w:rPr>
  </w:style>
  <w:style w:type="character" w:styleId="Strong">
    <w:name w:val="Strong"/>
    <w:rsid w:val="00A677CB"/>
    <w:rPr>
      <w:b/>
      <w:bCs/>
    </w:rPr>
  </w:style>
  <w:style w:type="paragraph" w:customStyle="1" w:styleId="ToFax">
    <w:name w:val="ToFax"/>
    <w:basedOn w:val="Normal"/>
    <w:rsid w:val="00A677CB"/>
    <w:pPr>
      <w:overflowPunct w:val="0"/>
      <w:autoSpaceDE w:val="0"/>
      <w:autoSpaceDN w:val="0"/>
      <w:adjustRightInd w:val="0"/>
      <w:spacing w:after="0" w:line="240" w:lineRule="auto"/>
      <w:textAlignment w:val="baseline"/>
    </w:pPr>
    <w:rPr>
      <w:rFonts w:ascii="Arial" w:eastAsia="Times New Roman" w:hAnsi="Arial" w:cs="Times New Roman"/>
      <w:sz w:val="28"/>
      <w:szCs w:val="20"/>
    </w:rPr>
  </w:style>
  <w:style w:type="character" w:styleId="CommentReference">
    <w:name w:val="annotation reference"/>
    <w:semiHidden/>
    <w:unhideWhenUsed/>
    <w:rsid w:val="002B2ECB"/>
    <w:rPr>
      <w:sz w:val="16"/>
      <w:szCs w:val="16"/>
    </w:rPr>
  </w:style>
  <w:style w:type="paragraph" w:styleId="CommentText">
    <w:name w:val="annotation text"/>
    <w:basedOn w:val="Normal"/>
    <w:link w:val="CommentTextChar"/>
    <w:uiPriority w:val="99"/>
    <w:semiHidden/>
    <w:unhideWhenUsed/>
    <w:rsid w:val="002B2ECB"/>
    <w:pPr>
      <w:spacing w:line="240" w:lineRule="auto"/>
    </w:pPr>
    <w:rPr>
      <w:sz w:val="20"/>
      <w:szCs w:val="20"/>
    </w:rPr>
  </w:style>
  <w:style w:type="character" w:customStyle="1" w:styleId="CommentTextChar">
    <w:name w:val="Comment Text Char"/>
    <w:link w:val="CommentText"/>
    <w:uiPriority w:val="99"/>
    <w:semiHidden/>
    <w:rsid w:val="002B2ECB"/>
    <w:rPr>
      <w:sz w:val="20"/>
      <w:szCs w:val="20"/>
    </w:rPr>
  </w:style>
  <w:style w:type="paragraph" w:styleId="CommentSubject">
    <w:name w:val="annotation subject"/>
    <w:basedOn w:val="CommentText"/>
    <w:next w:val="CommentText"/>
    <w:link w:val="CommentSubjectChar"/>
    <w:uiPriority w:val="99"/>
    <w:semiHidden/>
    <w:unhideWhenUsed/>
    <w:rsid w:val="002B2ECB"/>
    <w:rPr>
      <w:b/>
      <w:bCs/>
    </w:rPr>
  </w:style>
  <w:style w:type="character" w:customStyle="1" w:styleId="CommentSubjectChar">
    <w:name w:val="Comment Subject Char"/>
    <w:link w:val="CommentSubject"/>
    <w:uiPriority w:val="99"/>
    <w:semiHidden/>
    <w:rsid w:val="002B2ECB"/>
    <w:rPr>
      <w:b/>
      <w:bCs/>
      <w:sz w:val="20"/>
      <w:szCs w:val="20"/>
    </w:rPr>
  </w:style>
  <w:style w:type="paragraph" w:styleId="Revision">
    <w:name w:val="Revision"/>
    <w:hidden/>
    <w:uiPriority w:val="99"/>
    <w:semiHidden/>
    <w:rsid w:val="007E006A"/>
    <w:rPr>
      <w:sz w:val="22"/>
      <w:szCs w:val="22"/>
      <w:lang w:val="en-US" w:eastAsia="en-US"/>
    </w:rPr>
  </w:style>
  <w:style w:type="table" w:styleId="TableGrid">
    <w:name w:val="Table Grid"/>
    <w:basedOn w:val="TableNormal"/>
    <w:uiPriority w:val="59"/>
    <w:rsid w:val="00A27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rsid w:val="007F5CA5"/>
    <w:rPr>
      <w:i/>
      <w:iCs/>
      <w:color w:val="808080"/>
    </w:rPr>
  </w:style>
  <w:style w:type="character" w:styleId="FollowedHyperlink">
    <w:name w:val="FollowedHyperlink"/>
    <w:uiPriority w:val="99"/>
    <w:semiHidden/>
    <w:unhideWhenUsed/>
    <w:rsid w:val="00C850CD"/>
    <w:rPr>
      <w:color w:val="954F72"/>
      <w:u w:val="single"/>
    </w:rPr>
  </w:style>
  <w:style w:type="character" w:customStyle="1" w:styleId="Style4">
    <w:name w:val="Style4"/>
    <w:basedOn w:val="DefaultParagraphFont"/>
    <w:uiPriority w:val="1"/>
    <w:rsid w:val="00A1021A"/>
    <w:rPr>
      <w:rFonts w:ascii="Arial" w:hAnsi="Arial"/>
      <w:sz w:val="52"/>
    </w:rPr>
  </w:style>
  <w:style w:type="paragraph" w:customStyle="1" w:styleId="ZZZ1">
    <w:name w:val="ZZZ 1"/>
    <w:basedOn w:val="10-SectionHeading"/>
    <w:link w:val="ZZZ1Char"/>
    <w:rsid w:val="007801E1"/>
  </w:style>
  <w:style w:type="paragraph" w:customStyle="1" w:styleId="ZZZ2">
    <w:name w:val="ZZZ 2"/>
    <w:basedOn w:val="11-Subsection"/>
    <w:link w:val="ZZZ2Char"/>
    <w:rsid w:val="007801E1"/>
    <w:pPr>
      <w:jc w:val="both"/>
    </w:pPr>
  </w:style>
  <w:style w:type="character" w:customStyle="1" w:styleId="10-SectionHeadingChar">
    <w:name w:val="* 1.0 - Section Heading Char"/>
    <w:basedOn w:val="DefaultParagraphFont"/>
    <w:link w:val="10-SectionHeading"/>
    <w:rsid w:val="001D1652"/>
    <w:rPr>
      <w:rFonts w:ascii="Arial Bold" w:hAnsi="Arial Bold"/>
      <w:b/>
      <w:caps/>
      <w:lang w:val="en-CA" w:eastAsia="en-US"/>
    </w:rPr>
  </w:style>
  <w:style w:type="character" w:customStyle="1" w:styleId="ZZZ1Char">
    <w:name w:val="ZZZ 1 Char"/>
    <w:basedOn w:val="10-SectionHeadingChar"/>
    <w:link w:val="ZZZ1"/>
    <w:rsid w:val="007801E1"/>
    <w:rPr>
      <w:rFonts w:ascii="Arial Bold" w:hAnsi="Arial Bold"/>
      <w:b/>
      <w:caps/>
      <w:lang w:val="en-CA" w:eastAsia="en-US"/>
    </w:rPr>
  </w:style>
  <w:style w:type="paragraph" w:customStyle="1" w:styleId="Appendix2">
    <w:name w:val="Appendix 2"/>
    <w:basedOn w:val="Normal1"/>
    <w:link w:val="Appendix2Char"/>
    <w:uiPriority w:val="6"/>
    <w:qFormat/>
    <w:rsid w:val="000075A5"/>
    <w:pPr>
      <w:jc w:val="both"/>
    </w:pPr>
    <w:rPr>
      <w:rFonts w:ascii="Arial Bold" w:hAnsi="Arial Bold"/>
      <w:lang w:val="en-CA"/>
    </w:rPr>
  </w:style>
  <w:style w:type="character" w:customStyle="1" w:styleId="11-SubsectionChar">
    <w:name w:val="* 1.1 -  Subsection Char"/>
    <w:basedOn w:val="DefaultParagraphFont"/>
    <w:link w:val="11-Subsection"/>
    <w:rsid w:val="00656897"/>
    <w:rPr>
      <w:rFonts w:ascii="Arial" w:hAnsi="Arial"/>
      <w:b/>
      <w:szCs w:val="22"/>
      <w:lang w:val="en-US" w:eastAsia="en-US"/>
    </w:rPr>
  </w:style>
  <w:style w:type="character" w:customStyle="1" w:styleId="ZZZ2Char">
    <w:name w:val="ZZZ 2 Char"/>
    <w:basedOn w:val="11-SubsectionChar"/>
    <w:link w:val="ZZZ2"/>
    <w:rsid w:val="007801E1"/>
    <w:rPr>
      <w:rFonts w:ascii="Arial" w:hAnsi="Arial"/>
      <w:b/>
      <w:szCs w:val="22"/>
      <w:lang w:val="en-US" w:eastAsia="en-US"/>
    </w:rPr>
  </w:style>
  <w:style w:type="character" w:customStyle="1" w:styleId="Normal1Char">
    <w:name w:val="Normal1 Char"/>
    <w:basedOn w:val="DefaultParagraphFont"/>
    <w:link w:val="Normal1"/>
    <w:rsid w:val="007801E1"/>
    <w:rPr>
      <w:rFonts w:ascii="Arial" w:hAnsi="Arial"/>
      <w:b/>
      <w:szCs w:val="22"/>
      <w:lang w:eastAsia="en-US"/>
    </w:rPr>
  </w:style>
  <w:style w:type="character" w:customStyle="1" w:styleId="Appendix2Char">
    <w:name w:val="Appendix 2 Char"/>
    <w:basedOn w:val="Normal1Char"/>
    <w:link w:val="Appendix2"/>
    <w:uiPriority w:val="6"/>
    <w:rsid w:val="000075A5"/>
    <w:rPr>
      <w:rFonts w:ascii="Arial Bold" w:hAnsi="Arial Bold"/>
      <w:b/>
      <w:szCs w:val="22"/>
      <w:lang w:val="en-CA" w:eastAsia="en-US"/>
    </w:rPr>
  </w:style>
  <w:style w:type="character" w:customStyle="1" w:styleId="Heading3Char">
    <w:name w:val="Heading 3 Char"/>
    <w:basedOn w:val="DefaultParagraphFont"/>
    <w:link w:val="Heading3"/>
    <w:rsid w:val="003B36F0"/>
    <w:rPr>
      <w:rFonts w:ascii="Arial" w:hAnsi="Arial"/>
      <w:szCs w:val="22"/>
      <w:lang w:val="en-CA" w:eastAsia="en-US"/>
    </w:rPr>
  </w:style>
  <w:style w:type="character" w:customStyle="1" w:styleId="Heading4Char">
    <w:name w:val="Heading 4 Char"/>
    <w:basedOn w:val="DefaultParagraphFont"/>
    <w:link w:val="Heading4"/>
    <w:rsid w:val="003B36F0"/>
    <w:rPr>
      <w:rFonts w:ascii="Arial" w:hAnsi="Arial"/>
      <w:szCs w:val="22"/>
      <w:lang w:val="en-US" w:eastAsia="en-US"/>
    </w:rPr>
  </w:style>
  <w:style w:type="character" w:customStyle="1" w:styleId="Heading5Char">
    <w:name w:val="Heading 5 Char"/>
    <w:basedOn w:val="DefaultParagraphFont"/>
    <w:link w:val="Heading5"/>
    <w:rsid w:val="003B36F0"/>
    <w:rPr>
      <w:rFonts w:ascii="Arial" w:hAnsi="Arial"/>
      <w:szCs w:val="22"/>
      <w:lang w:val="en-CA" w:eastAsia="en-US"/>
    </w:rPr>
  </w:style>
  <w:style w:type="character" w:styleId="Emphasis">
    <w:name w:val="Emphasis"/>
    <w:basedOn w:val="DefaultParagraphFont"/>
    <w:uiPriority w:val="20"/>
    <w:qFormat/>
    <w:rsid w:val="00CA242A"/>
    <w:rPr>
      <w:i/>
      <w:iCs/>
    </w:rPr>
  </w:style>
  <w:style w:type="paragraph" w:styleId="FootnoteText">
    <w:name w:val="footnote text"/>
    <w:basedOn w:val="Normal"/>
    <w:link w:val="FootnoteTextChar"/>
    <w:uiPriority w:val="99"/>
    <w:semiHidden/>
    <w:unhideWhenUsed/>
    <w:rsid w:val="006B42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20A"/>
    <w:rPr>
      <w:lang w:val="en-US" w:eastAsia="en-US"/>
    </w:rPr>
  </w:style>
  <w:style w:type="character" w:styleId="FootnoteReference">
    <w:name w:val="footnote reference"/>
    <w:basedOn w:val="DefaultParagraphFont"/>
    <w:uiPriority w:val="99"/>
    <w:semiHidden/>
    <w:unhideWhenUsed/>
    <w:rsid w:val="006B4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5939">
      <w:bodyDiv w:val="1"/>
      <w:marLeft w:val="0"/>
      <w:marRight w:val="0"/>
      <w:marTop w:val="0"/>
      <w:marBottom w:val="0"/>
      <w:divBdr>
        <w:top w:val="none" w:sz="0" w:space="0" w:color="auto"/>
        <w:left w:val="none" w:sz="0" w:space="0" w:color="auto"/>
        <w:bottom w:val="none" w:sz="0" w:space="0" w:color="auto"/>
        <w:right w:val="none" w:sz="0" w:space="0" w:color="auto"/>
      </w:divBdr>
    </w:div>
    <w:div w:id="69889523">
      <w:bodyDiv w:val="1"/>
      <w:marLeft w:val="0"/>
      <w:marRight w:val="0"/>
      <w:marTop w:val="0"/>
      <w:marBottom w:val="0"/>
      <w:divBdr>
        <w:top w:val="none" w:sz="0" w:space="0" w:color="auto"/>
        <w:left w:val="none" w:sz="0" w:space="0" w:color="auto"/>
        <w:bottom w:val="none" w:sz="0" w:space="0" w:color="auto"/>
        <w:right w:val="none" w:sz="0" w:space="0" w:color="auto"/>
      </w:divBdr>
    </w:div>
    <w:div w:id="393967031">
      <w:bodyDiv w:val="1"/>
      <w:marLeft w:val="0"/>
      <w:marRight w:val="0"/>
      <w:marTop w:val="0"/>
      <w:marBottom w:val="0"/>
      <w:divBdr>
        <w:top w:val="none" w:sz="0" w:space="0" w:color="auto"/>
        <w:left w:val="none" w:sz="0" w:space="0" w:color="auto"/>
        <w:bottom w:val="none" w:sz="0" w:space="0" w:color="auto"/>
        <w:right w:val="none" w:sz="0" w:space="0" w:color="auto"/>
      </w:divBdr>
    </w:div>
    <w:div w:id="512769600">
      <w:bodyDiv w:val="1"/>
      <w:marLeft w:val="0"/>
      <w:marRight w:val="0"/>
      <w:marTop w:val="0"/>
      <w:marBottom w:val="0"/>
      <w:divBdr>
        <w:top w:val="none" w:sz="0" w:space="0" w:color="auto"/>
        <w:left w:val="none" w:sz="0" w:space="0" w:color="auto"/>
        <w:bottom w:val="none" w:sz="0" w:space="0" w:color="auto"/>
        <w:right w:val="none" w:sz="0" w:space="0" w:color="auto"/>
      </w:divBdr>
    </w:div>
    <w:div w:id="615064531">
      <w:bodyDiv w:val="1"/>
      <w:marLeft w:val="0"/>
      <w:marRight w:val="0"/>
      <w:marTop w:val="0"/>
      <w:marBottom w:val="0"/>
      <w:divBdr>
        <w:top w:val="none" w:sz="0" w:space="0" w:color="auto"/>
        <w:left w:val="none" w:sz="0" w:space="0" w:color="auto"/>
        <w:bottom w:val="none" w:sz="0" w:space="0" w:color="auto"/>
        <w:right w:val="none" w:sz="0" w:space="0" w:color="auto"/>
      </w:divBdr>
    </w:div>
    <w:div w:id="943996198">
      <w:bodyDiv w:val="1"/>
      <w:marLeft w:val="0"/>
      <w:marRight w:val="0"/>
      <w:marTop w:val="0"/>
      <w:marBottom w:val="0"/>
      <w:divBdr>
        <w:top w:val="none" w:sz="0" w:space="0" w:color="auto"/>
        <w:left w:val="none" w:sz="0" w:space="0" w:color="auto"/>
        <w:bottom w:val="none" w:sz="0" w:space="0" w:color="auto"/>
        <w:right w:val="none" w:sz="0" w:space="0" w:color="auto"/>
      </w:divBdr>
      <w:divsChild>
        <w:div w:id="282733607">
          <w:marLeft w:val="547"/>
          <w:marRight w:val="0"/>
          <w:marTop w:val="0"/>
          <w:marBottom w:val="0"/>
          <w:divBdr>
            <w:top w:val="none" w:sz="0" w:space="0" w:color="auto"/>
            <w:left w:val="none" w:sz="0" w:space="0" w:color="auto"/>
            <w:bottom w:val="none" w:sz="0" w:space="0" w:color="auto"/>
            <w:right w:val="none" w:sz="0" w:space="0" w:color="auto"/>
          </w:divBdr>
        </w:div>
        <w:div w:id="1012339869">
          <w:marLeft w:val="547"/>
          <w:marRight w:val="0"/>
          <w:marTop w:val="0"/>
          <w:marBottom w:val="0"/>
          <w:divBdr>
            <w:top w:val="none" w:sz="0" w:space="0" w:color="auto"/>
            <w:left w:val="none" w:sz="0" w:space="0" w:color="auto"/>
            <w:bottom w:val="none" w:sz="0" w:space="0" w:color="auto"/>
            <w:right w:val="none" w:sz="0" w:space="0" w:color="auto"/>
          </w:divBdr>
        </w:div>
        <w:div w:id="1247574838">
          <w:marLeft w:val="547"/>
          <w:marRight w:val="0"/>
          <w:marTop w:val="0"/>
          <w:marBottom w:val="0"/>
          <w:divBdr>
            <w:top w:val="none" w:sz="0" w:space="0" w:color="auto"/>
            <w:left w:val="none" w:sz="0" w:space="0" w:color="auto"/>
            <w:bottom w:val="none" w:sz="0" w:space="0" w:color="auto"/>
            <w:right w:val="none" w:sz="0" w:space="0" w:color="auto"/>
          </w:divBdr>
        </w:div>
        <w:div w:id="1534656651">
          <w:marLeft w:val="547"/>
          <w:marRight w:val="0"/>
          <w:marTop w:val="0"/>
          <w:marBottom w:val="0"/>
          <w:divBdr>
            <w:top w:val="none" w:sz="0" w:space="0" w:color="auto"/>
            <w:left w:val="none" w:sz="0" w:space="0" w:color="auto"/>
            <w:bottom w:val="none" w:sz="0" w:space="0" w:color="auto"/>
            <w:right w:val="none" w:sz="0" w:space="0" w:color="auto"/>
          </w:divBdr>
        </w:div>
        <w:div w:id="1728918415">
          <w:marLeft w:val="547"/>
          <w:marRight w:val="0"/>
          <w:marTop w:val="0"/>
          <w:marBottom w:val="0"/>
          <w:divBdr>
            <w:top w:val="none" w:sz="0" w:space="0" w:color="auto"/>
            <w:left w:val="none" w:sz="0" w:space="0" w:color="auto"/>
            <w:bottom w:val="none" w:sz="0" w:space="0" w:color="auto"/>
            <w:right w:val="none" w:sz="0" w:space="0" w:color="auto"/>
          </w:divBdr>
        </w:div>
        <w:div w:id="1857690884">
          <w:marLeft w:val="547"/>
          <w:marRight w:val="0"/>
          <w:marTop w:val="0"/>
          <w:marBottom w:val="0"/>
          <w:divBdr>
            <w:top w:val="none" w:sz="0" w:space="0" w:color="auto"/>
            <w:left w:val="none" w:sz="0" w:space="0" w:color="auto"/>
            <w:bottom w:val="none" w:sz="0" w:space="0" w:color="auto"/>
            <w:right w:val="none" w:sz="0" w:space="0" w:color="auto"/>
          </w:divBdr>
        </w:div>
      </w:divsChild>
    </w:div>
    <w:div w:id="1452553696">
      <w:bodyDiv w:val="1"/>
      <w:marLeft w:val="0"/>
      <w:marRight w:val="0"/>
      <w:marTop w:val="0"/>
      <w:marBottom w:val="0"/>
      <w:divBdr>
        <w:top w:val="none" w:sz="0" w:space="0" w:color="auto"/>
        <w:left w:val="none" w:sz="0" w:space="0" w:color="auto"/>
        <w:bottom w:val="none" w:sz="0" w:space="0" w:color="auto"/>
        <w:right w:val="none" w:sz="0" w:space="0" w:color="auto"/>
      </w:divBdr>
    </w:div>
    <w:div w:id="1894734678">
      <w:bodyDiv w:val="1"/>
      <w:marLeft w:val="0"/>
      <w:marRight w:val="0"/>
      <w:marTop w:val="0"/>
      <w:marBottom w:val="0"/>
      <w:divBdr>
        <w:top w:val="none" w:sz="0" w:space="0" w:color="auto"/>
        <w:left w:val="none" w:sz="0" w:space="0" w:color="auto"/>
        <w:bottom w:val="none" w:sz="0" w:space="0" w:color="auto"/>
        <w:right w:val="none" w:sz="0" w:space="0" w:color="auto"/>
      </w:divBdr>
    </w:div>
    <w:div w:id="203037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is-laws.justice.gc.ca/eng/acts/T-19.0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C.TDGPolicyProposal-PropositionpolitiquesTMD.TC@tc.gc.ca" TargetMode="External"/><Relationship Id="rId4" Type="http://schemas.openxmlformats.org/officeDocument/2006/relationships/settings" Target="settings.xml"/><Relationship Id="rId9" Type="http://schemas.openxmlformats.org/officeDocument/2006/relationships/hyperlink" Target="http://www.tc.gc.ca/eng/tdg/clear-tofc-211.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gije\Desktop\test%201%20tdg%20document%20template%20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189A6-84A9-4C60-BCC3-44EB5C5B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1 tdg document template English</Template>
  <TotalTime>6</TotalTime>
  <Pages>5</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TDG Documentation Framework Template</vt:lpstr>
    </vt:vector>
  </TitlesOfParts>
  <Company>Upper Canada District School Board</Company>
  <LinksUpToDate>false</LinksUpToDate>
  <CharactersWithSpaces>10222</CharactersWithSpaces>
  <SharedDoc>false</SharedDoc>
  <HLinks>
    <vt:vector size="150" baseType="variant">
      <vt:variant>
        <vt:i4>1114178</vt:i4>
      </vt:variant>
      <vt:variant>
        <vt:i4>145</vt:i4>
      </vt:variant>
      <vt:variant>
        <vt:i4>0</vt:i4>
      </vt:variant>
      <vt:variant>
        <vt:i4>5</vt:i4>
      </vt:variant>
      <vt:variant>
        <vt:lpwstr>pcdocs://RDIMS/12857283/1</vt:lpwstr>
      </vt:variant>
      <vt:variant>
        <vt:lpwstr/>
      </vt:variant>
      <vt:variant>
        <vt:i4>2556016</vt:i4>
      </vt:variant>
      <vt:variant>
        <vt:i4>142</vt:i4>
      </vt:variant>
      <vt:variant>
        <vt:i4>0</vt:i4>
      </vt:variant>
      <vt:variant>
        <vt:i4>5</vt:i4>
      </vt:variant>
      <vt:variant>
        <vt:lpwstr>pcdocs://RDIMS/147060/R</vt:lpwstr>
      </vt:variant>
      <vt:variant>
        <vt:lpwstr/>
      </vt:variant>
      <vt:variant>
        <vt:i4>6488160</vt:i4>
      </vt:variant>
      <vt:variant>
        <vt:i4>139</vt:i4>
      </vt:variant>
      <vt:variant>
        <vt:i4>0</vt:i4>
      </vt:variant>
      <vt:variant>
        <vt:i4>5</vt:i4>
      </vt:variant>
      <vt:variant>
        <vt:lpwstr>http://www.tbs-sct.gc.ca/pol/doc-eng.aspx?id=26160</vt:lpwstr>
      </vt:variant>
      <vt:variant>
        <vt:lpwstr/>
      </vt:variant>
      <vt:variant>
        <vt:i4>8257578</vt:i4>
      </vt:variant>
      <vt:variant>
        <vt:i4>136</vt:i4>
      </vt:variant>
      <vt:variant>
        <vt:i4>0</vt:i4>
      </vt:variant>
      <vt:variant>
        <vt:i4>5</vt:i4>
      </vt:variant>
      <vt:variant>
        <vt:lpwstr>http://www.tc.gc.ca/eng/tdg/clear-tofc-211.htm</vt:lpwstr>
      </vt:variant>
      <vt:variant>
        <vt:lpwstr/>
      </vt:variant>
      <vt:variant>
        <vt:i4>2031688</vt:i4>
      </vt:variant>
      <vt:variant>
        <vt:i4>133</vt:i4>
      </vt:variant>
      <vt:variant>
        <vt:i4>0</vt:i4>
      </vt:variant>
      <vt:variant>
        <vt:i4>5</vt:i4>
      </vt:variant>
      <vt:variant>
        <vt:lpwstr>http://lois-laws.justice.gc.ca/eng/acts/T-19.01/</vt:lpwstr>
      </vt:variant>
      <vt:variant>
        <vt:lpwstr/>
      </vt:variant>
      <vt:variant>
        <vt:i4>1966141</vt:i4>
      </vt:variant>
      <vt:variant>
        <vt:i4>126</vt:i4>
      </vt:variant>
      <vt:variant>
        <vt:i4>0</vt:i4>
      </vt:variant>
      <vt:variant>
        <vt:i4>5</vt:i4>
      </vt:variant>
      <vt:variant>
        <vt:lpwstr/>
      </vt:variant>
      <vt:variant>
        <vt:lpwstr>_Toc478718019</vt:lpwstr>
      </vt:variant>
      <vt:variant>
        <vt:i4>1966141</vt:i4>
      </vt:variant>
      <vt:variant>
        <vt:i4>120</vt:i4>
      </vt:variant>
      <vt:variant>
        <vt:i4>0</vt:i4>
      </vt:variant>
      <vt:variant>
        <vt:i4>5</vt:i4>
      </vt:variant>
      <vt:variant>
        <vt:lpwstr/>
      </vt:variant>
      <vt:variant>
        <vt:lpwstr>_Toc478718018</vt:lpwstr>
      </vt:variant>
      <vt:variant>
        <vt:i4>1966141</vt:i4>
      </vt:variant>
      <vt:variant>
        <vt:i4>114</vt:i4>
      </vt:variant>
      <vt:variant>
        <vt:i4>0</vt:i4>
      </vt:variant>
      <vt:variant>
        <vt:i4>5</vt:i4>
      </vt:variant>
      <vt:variant>
        <vt:lpwstr/>
      </vt:variant>
      <vt:variant>
        <vt:lpwstr>_Toc478718017</vt:lpwstr>
      </vt:variant>
      <vt:variant>
        <vt:i4>1966141</vt:i4>
      </vt:variant>
      <vt:variant>
        <vt:i4>108</vt:i4>
      </vt:variant>
      <vt:variant>
        <vt:i4>0</vt:i4>
      </vt:variant>
      <vt:variant>
        <vt:i4>5</vt:i4>
      </vt:variant>
      <vt:variant>
        <vt:lpwstr/>
      </vt:variant>
      <vt:variant>
        <vt:lpwstr>_Toc478718016</vt:lpwstr>
      </vt:variant>
      <vt:variant>
        <vt:i4>1966141</vt:i4>
      </vt:variant>
      <vt:variant>
        <vt:i4>102</vt:i4>
      </vt:variant>
      <vt:variant>
        <vt:i4>0</vt:i4>
      </vt:variant>
      <vt:variant>
        <vt:i4>5</vt:i4>
      </vt:variant>
      <vt:variant>
        <vt:lpwstr/>
      </vt:variant>
      <vt:variant>
        <vt:lpwstr>_Toc478718015</vt:lpwstr>
      </vt:variant>
      <vt:variant>
        <vt:i4>1966141</vt:i4>
      </vt:variant>
      <vt:variant>
        <vt:i4>96</vt:i4>
      </vt:variant>
      <vt:variant>
        <vt:i4>0</vt:i4>
      </vt:variant>
      <vt:variant>
        <vt:i4>5</vt:i4>
      </vt:variant>
      <vt:variant>
        <vt:lpwstr/>
      </vt:variant>
      <vt:variant>
        <vt:lpwstr>_Toc478718014</vt:lpwstr>
      </vt:variant>
      <vt:variant>
        <vt:i4>1966141</vt:i4>
      </vt:variant>
      <vt:variant>
        <vt:i4>90</vt:i4>
      </vt:variant>
      <vt:variant>
        <vt:i4>0</vt:i4>
      </vt:variant>
      <vt:variant>
        <vt:i4>5</vt:i4>
      </vt:variant>
      <vt:variant>
        <vt:lpwstr/>
      </vt:variant>
      <vt:variant>
        <vt:lpwstr>_Toc478718013</vt:lpwstr>
      </vt:variant>
      <vt:variant>
        <vt:i4>1966141</vt:i4>
      </vt:variant>
      <vt:variant>
        <vt:i4>84</vt:i4>
      </vt:variant>
      <vt:variant>
        <vt:i4>0</vt:i4>
      </vt:variant>
      <vt:variant>
        <vt:i4>5</vt:i4>
      </vt:variant>
      <vt:variant>
        <vt:lpwstr/>
      </vt:variant>
      <vt:variant>
        <vt:lpwstr>_Toc478718012</vt:lpwstr>
      </vt:variant>
      <vt:variant>
        <vt:i4>1966141</vt:i4>
      </vt:variant>
      <vt:variant>
        <vt:i4>78</vt:i4>
      </vt:variant>
      <vt:variant>
        <vt:i4>0</vt:i4>
      </vt:variant>
      <vt:variant>
        <vt:i4>5</vt:i4>
      </vt:variant>
      <vt:variant>
        <vt:lpwstr/>
      </vt:variant>
      <vt:variant>
        <vt:lpwstr>_Toc478718011</vt:lpwstr>
      </vt:variant>
      <vt:variant>
        <vt:i4>1966141</vt:i4>
      </vt:variant>
      <vt:variant>
        <vt:i4>72</vt:i4>
      </vt:variant>
      <vt:variant>
        <vt:i4>0</vt:i4>
      </vt:variant>
      <vt:variant>
        <vt:i4>5</vt:i4>
      </vt:variant>
      <vt:variant>
        <vt:lpwstr/>
      </vt:variant>
      <vt:variant>
        <vt:lpwstr>_Toc478718010</vt:lpwstr>
      </vt:variant>
      <vt:variant>
        <vt:i4>2031677</vt:i4>
      </vt:variant>
      <vt:variant>
        <vt:i4>66</vt:i4>
      </vt:variant>
      <vt:variant>
        <vt:i4>0</vt:i4>
      </vt:variant>
      <vt:variant>
        <vt:i4>5</vt:i4>
      </vt:variant>
      <vt:variant>
        <vt:lpwstr/>
      </vt:variant>
      <vt:variant>
        <vt:lpwstr>_Toc478718009</vt:lpwstr>
      </vt:variant>
      <vt:variant>
        <vt:i4>2031677</vt:i4>
      </vt:variant>
      <vt:variant>
        <vt:i4>60</vt:i4>
      </vt:variant>
      <vt:variant>
        <vt:i4>0</vt:i4>
      </vt:variant>
      <vt:variant>
        <vt:i4>5</vt:i4>
      </vt:variant>
      <vt:variant>
        <vt:lpwstr/>
      </vt:variant>
      <vt:variant>
        <vt:lpwstr>_Toc478718008</vt:lpwstr>
      </vt:variant>
      <vt:variant>
        <vt:i4>2031677</vt:i4>
      </vt:variant>
      <vt:variant>
        <vt:i4>54</vt:i4>
      </vt:variant>
      <vt:variant>
        <vt:i4>0</vt:i4>
      </vt:variant>
      <vt:variant>
        <vt:i4>5</vt:i4>
      </vt:variant>
      <vt:variant>
        <vt:lpwstr/>
      </vt:variant>
      <vt:variant>
        <vt:lpwstr>_Toc478718007</vt:lpwstr>
      </vt:variant>
      <vt:variant>
        <vt:i4>2031677</vt:i4>
      </vt:variant>
      <vt:variant>
        <vt:i4>48</vt:i4>
      </vt:variant>
      <vt:variant>
        <vt:i4>0</vt:i4>
      </vt:variant>
      <vt:variant>
        <vt:i4>5</vt:i4>
      </vt:variant>
      <vt:variant>
        <vt:lpwstr/>
      </vt:variant>
      <vt:variant>
        <vt:lpwstr>_Toc478718006</vt:lpwstr>
      </vt:variant>
      <vt:variant>
        <vt:i4>2031677</vt:i4>
      </vt:variant>
      <vt:variant>
        <vt:i4>42</vt:i4>
      </vt:variant>
      <vt:variant>
        <vt:i4>0</vt:i4>
      </vt:variant>
      <vt:variant>
        <vt:i4>5</vt:i4>
      </vt:variant>
      <vt:variant>
        <vt:lpwstr/>
      </vt:variant>
      <vt:variant>
        <vt:lpwstr>_Toc478718005</vt:lpwstr>
      </vt:variant>
      <vt:variant>
        <vt:i4>2031677</vt:i4>
      </vt:variant>
      <vt:variant>
        <vt:i4>36</vt:i4>
      </vt:variant>
      <vt:variant>
        <vt:i4>0</vt:i4>
      </vt:variant>
      <vt:variant>
        <vt:i4>5</vt:i4>
      </vt:variant>
      <vt:variant>
        <vt:lpwstr/>
      </vt:variant>
      <vt:variant>
        <vt:lpwstr>_Toc478718004</vt:lpwstr>
      </vt:variant>
      <vt:variant>
        <vt:i4>2031677</vt:i4>
      </vt:variant>
      <vt:variant>
        <vt:i4>30</vt:i4>
      </vt:variant>
      <vt:variant>
        <vt:i4>0</vt:i4>
      </vt:variant>
      <vt:variant>
        <vt:i4>5</vt:i4>
      </vt:variant>
      <vt:variant>
        <vt:lpwstr/>
      </vt:variant>
      <vt:variant>
        <vt:lpwstr>_Toc478718003</vt:lpwstr>
      </vt:variant>
      <vt:variant>
        <vt:i4>2031677</vt:i4>
      </vt:variant>
      <vt:variant>
        <vt:i4>24</vt:i4>
      </vt:variant>
      <vt:variant>
        <vt:i4>0</vt:i4>
      </vt:variant>
      <vt:variant>
        <vt:i4>5</vt:i4>
      </vt:variant>
      <vt:variant>
        <vt:lpwstr/>
      </vt:variant>
      <vt:variant>
        <vt:lpwstr>_Toc478718002</vt:lpwstr>
      </vt:variant>
      <vt:variant>
        <vt:i4>2031677</vt:i4>
      </vt:variant>
      <vt:variant>
        <vt:i4>18</vt:i4>
      </vt:variant>
      <vt:variant>
        <vt:i4>0</vt:i4>
      </vt:variant>
      <vt:variant>
        <vt:i4>5</vt:i4>
      </vt:variant>
      <vt:variant>
        <vt:lpwstr/>
      </vt:variant>
      <vt:variant>
        <vt:lpwstr>_Toc478718001</vt:lpwstr>
      </vt:variant>
      <vt:variant>
        <vt:i4>2031677</vt:i4>
      </vt:variant>
      <vt:variant>
        <vt:i4>12</vt:i4>
      </vt:variant>
      <vt:variant>
        <vt:i4>0</vt:i4>
      </vt:variant>
      <vt:variant>
        <vt:i4>5</vt:i4>
      </vt:variant>
      <vt:variant>
        <vt:lpwstr/>
      </vt:variant>
      <vt:variant>
        <vt:lpwstr>_Toc478718000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TDG Documentation Framework Template</dc:title>
  <dc:subject/>
  <dc:creator>bougije</dc:creator>
  <cp:keywords/>
  <cp:lastModifiedBy>Vinci, Tiffany</cp:lastModifiedBy>
  <cp:revision>6</cp:revision>
  <cp:lastPrinted>2018-11-16T19:57:00Z</cp:lastPrinted>
  <dcterms:created xsi:type="dcterms:W3CDTF">2018-11-21T15:25:00Z</dcterms:created>
  <dcterms:modified xsi:type="dcterms:W3CDTF">2018-11-21T16:11:00Z</dcterms:modified>
</cp:coreProperties>
</file>